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EF444">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台儿庄区</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市场监督管理</w:t>
      </w:r>
      <w:r>
        <w:rPr>
          <w:rFonts w:hint="eastAsia" w:ascii="方正小标宋简体" w:hAnsi="方正小标宋简体" w:eastAsia="方正小标宋简体" w:cs="方正小标宋简体"/>
          <w:bCs/>
          <w:color w:val="333333"/>
          <w:spacing w:val="-17"/>
          <w:sz w:val="44"/>
          <w:szCs w:val="44"/>
          <w:shd w:val="clear" w:color="auto" w:fill="FFFFFF"/>
        </w:rPr>
        <w:t>局</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5B330D1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kern w:val="2"/>
          <w:sz w:val="32"/>
          <w:szCs w:val="32"/>
          <w:lang w:val="en-US" w:eastAsia="zh-CN" w:bidi="ar-SA"/>
        </w:rPr>
      </w:pP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政府信息公开条例》（国务院令第711号）规定，以及台儿庄区人民政府办公室《关于做好2025年政府信息公开工作年度报告编制和发布工作的通知》要求，现将我局2025年度政府信息公开工作报告如下。本报告由总体情况、主动公开政府信息情况、收到和处理政府信息公开申请情况、政府信息公开行政复议、行政诉讼情况、存在的主要问题及改进情况、其他需要报告的事项共六个部分组成。本年度报告中所列数据统计期限从2025年1月1日到2025年12月31日。本年度报告电子版可通过台儿庄区政府门户网站（http://www.tez.gov.cn/）查阅或下载。如对本报有疑问，请与台儿庄区市场监管局联系（地址：枣庄市台儿庄区运河大道4025号；邮编：277499；联系电话：0632-6707010；电子邮箱：tezscjgj@zz.shandong.cn）。</w:t>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704E717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区市场监管局坚持以习近平新时代中国特色社会主义思想为指导，深入贯彻党的二十大和二十届历次全会精神，紧紧围绕区委、区政府中心工作及群众关注关切，严格遵循《中华人民共和国政府信息公开条例》要求，全面推进政府信息公开工作制度化、规范化、常态化建设，现将有关工作情况总结如下。</w:t>
      </w:r>
    </w:p>
    <w:p w14:paraId="6357B4B3">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color w:val="000000" w:themeColor="text1"/>
          <w:sz w:val="32"/>
          <w:szCs w:val="32"/>
          <w14:textFill>
            <w14:solidFill>
              <w14:schemeClr w14:val="tx1"/>
            </w14:solidFill>
          </w14:textFill>
        </w:rPr>
        <w:t>1.主动公开方面。</w:t>
      </w:r>
      <w:r>
        <w:rPr>
          <w:rFonts w:hint="eastAsia" w:ascii="仿宋_GB2312" w:hAnsi="仿宋_GB2312" w:eastAsia="仿宋_GB2312" w:cs="仿宋_GB2312"/>
          <w:kern w:val="2"/>
          <w:sz w:val="32"/>
          <w:szCs w:val="32"/>
          <w:lang w:val="en-US" w:eastAsia="zh-CN" w:bidi="ar-SA"/>
        </w:rPr>
        <w:t>2025年我局公开政府信息49条，包含食品安全抽检信息、产品质量抽检信息、消费提示、部门会议、行政执法决定、政府工作报告目标任务进展情况等。在微信公众号发布市场监管领域有关信息480余条，全面展示了我局的具体工作与成效。</w:t>
      </w:r>
    </w:p>
    <w:p w14:paraId="2A428D08">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2.依申请公开工作方面。</w:t>
      </w:r>
      <w:r>
        <w:rPr>
          <w:rFonts w:hint="eastAsia" w:ascii="仿宋_GB2312" w:hAnsi="仿宋_GB2312" w:eastAsia="仿宋_GB2312" w:cs="仿宋_GB2312"/>
          <w:kern w:val="2"/>
          <w:sz w:val="32"/>
          <w:szCs w:val="32"/>
          <w:lang w:val="en-US" w:eastAsia="zh-CN" w:bidi="ar-SA"/>
        </w:rPr>
        <w:t>全年依法依规办理公民提交的政务信息公开申请13件，其中上年结转0件，办结13件。处理信息公开类行政复议2起。</w:t>
      </w:r>
    </w:p>
    <w:p w14:paraId="08FF99DA">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3.政府信息管理方面。</w:t>
      </w:r>
      <w:r>
        <w:rPr>
          <w:rFonts w:hint="eastAsia" w:ascii="仿宋_GB2312" w:hAnsi="仿宋_GB2312" w:eastAsia="仿宋_GB2312" w:cs="仿宋_GB2312"/>
          <w:sz w:val="32"/>
          <w:szCs w:val="32"/>
        </w:rPr>
        <w:t>安排专人负责政府信息公开平台的信息发布与管理，</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时更新行政处罚、抽查结果等变动频繁的信息，及时清理不再适用的存量信息。</w:t>
      </w:r>
      <w:r>
        <w:rPr>
          <w:rFonts w:hint="eastAsia"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rPr>
        <w:t>政府信息公开保密审查制度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做到涉密信息不上网。</w:t>
      </w:r>
    </w:p>
    <w:p w14:paraId="2EE7B708">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4.平台建设方面。</w:t>
      </w:r>
      <w:r>
        <w:rPr>
          <w:rFonts w:hint="eastAsia" w:ascii="仿宋_GB2312" w:hAnsi="仿宋_GB2312" w:eastAsia="仿宋_GB2312" w:cs="仿宋_GB2312"/>
          <w:sz w:val="32"/>
          <w:szCs w:val="32"/>
        </w:rPr>
        <w:t>我局以区政府网站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政务新媒体-微信公众号</w:t>
      </w:r>
      <w:r>
        <w:rPr>
          <w:rFonts w:hint="eastAsia" w:ascii="仿宋_GB2312" w:hAnsi="仿宋_GB2312" w:eastAsia="仿宋_GB2312" w:cs="仿宋_GB2312"/>
          <w:sz w:val="32"/>
          <w:szCs w:val="32"/>
        </w:rPr>
        <w:t>为依托，主动公开发布</w:t>
      </w:r>
      <w:r>
        <w:rPr>
          <w:rFonts w:hint="eastAsia" w:ascii="仿宋_GB2312" w:hAnsi="仿宋_GB2312" w:eastAsia="仿宋_GB2312" w:cs="仿宋_GB2312"/>
          <w:sz w:val="32"/>
          <w:szCs w:val="32"/>
          <w:lang w:val="en-US" w:eastAsia="zh-CN"/>
        </w:rPr>
        <w:t>食品药品安全科普信息、特种设备安全、工业产品质量安全、消费维权、食品抽检结果、执法结果公示等</w:t>
      </w:r>
      <w:r>
        <w:rPr>
          <w:rFonts w:hint="eastAsia" w:ascii="仿宋_GB2312" w:hAnsi="仿宋_GB2312" w:eastAsia="仿宋_GB2312" w:cs="仿宋_GB2312"/>
          <w:sz w:val="32"/>
          <w:szCs w:val="32"/>
        </w:rPr>
        <w:t>群众关心的信息，保障</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栏目的正常运行。</w:t>
      </w:r>
    </w:p>
    <w:p w14:paraId="1F8A04B4">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5.监督保障方面。</w:t>
      </w:r>
      <w:r>
        <w:rPr>
          <w:rFonts w:hint="eastAsia" w:ascii="仿宋_GB2312" w:hAnsi="仿宋_GB2312" w:eastAsia="仿宋_GB2312" w:cs="仿宋_GB2312"/>
          <w:sz w:val="32"/>
          <w:szCs w:val="32"/>
        </w:rPr>
        <w:t>规范政府信息公开发布、保密审查等流程，</w:t>
      </w:r>
      <w:r>
        <w:rPr>
          <w:rFonts w:hint="eastAsia" w:ascii="仿宋_GB2312" w:hAnsi="仿宋_GB2312" w:eastAsia="仿宋_GB2312" w:cs="仿宋_GB2312"/>
          <w:sz w:val="32"/>
          <w:szCs w:val="32"/>
          <w:lang w:val="en-US" w:eastAsia="zh-CN"/>
        </w:rPr>
        <w:t>组织相关人员加强</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提升信息公开质量。对</w:t>
      </w:r>
      <w:r>
        <w:rPr>
          <w:rFonts w:hint="eastAsia" w:ascii="仿宋_GB2312" w:hAnsi="仿宋_GB2312" w:eastAsia="仿宋_GB2312" w:cs="仿宋_GB2312"/>
          <w:sz w:val="32"/>
          <w:szCs w:val="32"/>
          <w:lang w:val="en-US" w:eastAsia="zh-CN"/>
        </w:rPr>
        <w:t>信息公开申请等情况加强综合分析研判</w:t>
      </w:r>
      <w:r>
        <w:rPr>
          <w:rFonts w:hint="eastAsia" w:ascii="仿宋_GB2312" w:hAnsi="仿宋_GB2312" w:eastAsia="仿宋_GB2312" w:cs="仿宋_GB2312"/>
          <w:sz w:val="32"/>
          <w:szCs w:val="32"/>
        </w:rPr>
        <w:t>，切实做到依申请公开答复准确严谨、合法合规。</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261</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61</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c>
          <w:tcPr>
            <w:tcW w:w="540" w:type="dxa"/>
            <w:shd w:val="clear" w:color="auto" w:fill="auto"/>
            <w:tcMar>
              <w:left w:w="108" w:type="dxa"/>
              <w:right w:w="108" w:type="dxa"/>
            </w:tcMar>
            <w:vAlign w:val="center"/>
          </w:tcPr>
          <w:p w14:paraId="22FC440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EB7936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37B97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bookmarkStart w:id="10" w:name="_GoBack"/>
            <w:bookmarkEnd w:id="10"/>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310AD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default" w:ascii="仿宋_GB2312" w:hAnsi="仿宋_GB2312" w:eastAsia="仿宋_GB2312" w:cs="仿宋_GB2312"/>
          <w:color w:val="0000FF"/>
          <w:kern w:val="2"/>
          <w:sz w:val="32"/>
          <w:szCs w:val="32"/>
          <w:lang w:val="en-US" w:eastAsia="zh-CN"/>
        </w:rPr>
      </w:pPr>
      <w:r>
        <w:rPr>
          <w:rFonts w:hint="eastAsia" w:ascii="仿宋_GB2312" w:hAnsi="仿宋_GB2312" w:eastAsia="仿宋_GB2312" w:cs="仿宋_GB2312"/>
          <w:color w:val="auto"/>
          <w:kern w:val="2"/>
          <w:sz w:val="32"/>
          <w:szCs w:val="32"/>
          <w:lang w:val="en-US" w:eastAsia="zh-CN"/>
        </w:rPr>
        <w:t>2025年，我局政府信息公开工作仍存在一些不足，主要表现在：依申请政府信息公开答复的程序和细节还需进一步优化；信息公开的内容还需进一步丰富。针对存在的问题，主要采取以下措施加以改进，一是加强工作人员的业务培训，加强《政府信息公开条例》及有关答复文档使用的学习，重点针对产生行政复议的类型加强相关案例、司法部门解释的学习使用，提高答复的准确性。二是进一步梳理本单位公开事项，增加主动公开内容的频次，结合政府开放日等活动，主动收集社情民意，及时回应群众关切，切实提升政府信息公开工作的透明度和互动性。</w:t>
      </w:r>
    </w:p>
    <w:p w14:paraId="49F097C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sz w:val="32"/>
          <w:szCs w:val="32"/>
          <w:shd w:val="clear" w:color="auto" w:fill="FFFFFF"/>
          <w:lang w:bidi="ar"/>
          <w14:textFill>
            <w14:solidFill>
              <w14:schemeClr w14:val="tx1"/>
            </w14:solidFill>
          </w14:textFill>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（一）收取信息处理费情况</w:t>
      </w:r>
    </w:p>
    <w:p w14:paraId="432D20E4">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2025年未产生信息处理费</w:t>
      </w:r>
      <w:r>
        <w:rPr>
          <w:rFonts w:ascii="仿宋_GB2312" w:hAnsi="仿宋_GB2312" w:eastAsia="仿宋_GB2312" w:cs="仿宋_GB2312"/>
          <w:color w:val="000000" w:themeColor="text1"/>
          <w:sz w:val="32"/>
          <w:szCs w:val="32"/>
          <w14:textFill>
            <w14:solidFill>
              <w14:schemeClr w14:val="tx1"/>
            </w14:solidFill>
          </w14:textFill>
        </w:rPr>
        <w:t>。</w:t>
      </w:r>
    </w:p>
    <w:p w14:paraId="05D6F54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（二）落实上级年度政务公开工作要点情况</w:t>
      </w:r>
    </w:p>
    <w:p w14:paraId="0D89658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根据上级要求，结合市场监管职责任务，加强微信公众号等政务新媒体平台使用，</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在微信公众号发布、转发各类信息480余篇，其中发布工作动态16期</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严格落实信息公开保密审核和“三审三校”制度，守好“内容关”“安全关”，确保信息内容准确、文字表述准确，无重大表述失误。</w:t>
      </w:r>
    </w:p>
    <w:p w14:paraId="7674EC5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（三）人大代表建议和政协提案办理结果公开情况</w:t>
      </w:r>
    </w:p>
    <w:p w14:paraId="253E75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2025年我局主办</w:t>
      </w:r>
      <w:r>
        <w:rPr>
          <w:rFonts w:hint="eastAsia" w:ascii="仿宋_GB2312" w:hAnsi="仿宋_GB2312" w:eastAsia="仿宋_GB2312" w:cs="仿宋_GB2312"/>
          <w:color w:val="000000" w:themeColor="text1"/>
          <w:sz w:val="32"/>
          <w:szCs w:val="32"/>
          <w14:textFill>
            <w14:solidFill>
              <w14:schemeClr w14:val="tx1"/>
            </w14:solidFill>
          </w14:textFill>
        </w:rPr>
        <w:t>区十三届人大四次会议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代表建议1件，主办区政协十届四次会议委员提案4件，均通过区政府网站予以公开</w:t>
      </w:r>
      <w:r>
        <w:rPr>
          <w:rFonts w:hint="eastAsia" w:ascii="仿宋_GB2312" w:hAnsi="仿宋_GB2312" w:eastAsia="仿宋_GB2312" w:cs="仿宋_GB2312"/>
          <w:color w:val="000000" w:themeColor="text1"/>
          <w:sz w:val="32"/>
          <w:szCs w:val="32"/>
          <w14:textFill>
            <w14:solidFill>
              <w14:schemeClr w14:val="tx1"/>
            </w14:solidFill>
          </w14:textFill>
        </w:rPr>
        <w:t>。</w:t>
      </w:r>
    </w:p>
    <w:p w14:paraId="68202A4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（四）政务公开工作创新情况</w:t>
      </w:r>
    </w:p>
    <w:p w14:paraId="27A0498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4B3281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报告中所列数据的统计期限自</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年1月1日起至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（六）本行政机关认为需要报告的其他事项</w:t>
      </w:r>
    </w:p>
    <w:p w14:paraId="44C37442">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29EB843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（七）其他有关文件专门要求通过政府信息公开工作年度报告予以报告的事项</w:t>
      </w:r>
    </w:p>
    <w:p w14:paraId="3F3F31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4B22FDC7">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台儿庄区市场监督管理局</w:t>
      </w:r>
    </w:p>
    <w:p w14:paraId="27DAF3F7">
      <w:pPr>
        <w:spacing w:line="560" w:lineRule="exact"/>
        <w:ind w:firstLine="618" w:firstLineChars="200"/>
        <w:jc w:val="right"/>
        <w:rPr>
          <w:rFonts w:ascii="仿宋_GB2312" w:hAnsi="仿宋_GB2312" w:eastAsia="仿宋_GB2312" w:cs="Calibri"/>
          <w:sz w:val="32"/>
          <w:szCs w:val="32"/>
          <w:shd w:val="clear" w:color="auto"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2026年1月21日</w:t>
      </w: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BF5BF5-FCAC-49AB-87C1-B3E50B2B80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A5AA19-F637-4F73-B03D-9B1FD5D9E97E}"/>
  </w:font>
  <w:font w:name="仿宋_GB2312">
    <w:panose1 w:val="02010609030101010101"/>
    <w:charset w:val="86"/>
    <w:family w:val="modern"/>
    <w:pitch w:val="default"/>
    <w:sig w:usb0="00000001" w:usb1="080E0000" w:usb2="00000000" w:usb3="00000000" w:csb0="00040000" w:csb1="00000000"/>
    <w:embedRegular r:id="rId3" w:fontKey="{ACC7415D-4CCC-4984-B87F-D1417CF9F1D2}"/>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7A101DB3-F68B-451A-AD13-5ED55461D92E}"/>
  </w:font>
  <w:font w:name="楷体_GB2312">
    <w:panose1 w:val="02010609030101010101"/>
    <w:charset w:val="86"/>
    <w:family w:val="modern"/>
    <w:pitch w:val="default"/>
    <w:sig w:usb0="00000001" w:usb1="080E0000" w:usb2="00000000" w:usb3="00000000" w:csb0="00040000" w:csb1="00000000"/>
    <w:embedRegular r:id="rId5" w:fontKey="{F6C3EE16-D826-4ABD-9F11-7735C28BA00B}"/>
  </w:font>
  <w:font w:name="楷体">
    <w:panose1 w:val="02010609060101010101"/>
    <w:charset w:val="86"/>
    <w:family w:val="modern"/>
    <w:pitch w:val="default"/>
    <w:sig w:usb0="800002BF" w:usb1="38CF7CFA" w:usb2="00000016" w:usb3="00000000" w:csb0="00040001" w:csb1="00000000"/>
    <w:embedRegular r:id="rId6" w:fontKey="{52E2FE34-29D6-42F9-9A1F-BDDE591628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6"/>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6"/>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6"/>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147E4E1C"/>
    <w:rsid w:val="169F72CB"/>
    <w:rsid w:val="1ADD5D48"/>
    <w:rsid w:val="22DE784D"/>
    <w:rsid w:val="27F616BE"/>
    <w:rsid w:val="2B300A31"/>
    <w:rsid w:val="2E1B3EB1"/>
    <w:rsid w:val="34EC3754"/>
    <w:rsid w:val="3B5E96CB"/>
    <w:rsid w:val="3FE78241"/>
    <w:rsid w:val="42C6780A"/>
    <w:rsid w:val="53086510"/>
    <w:rsid w:val="57F95408"/>
    <w:rsid w:val="584E37D7"/>
    <w:rsid w:val="59BDE728"/>
    <w:rsid w:val="5A8D766B"/>
    <w:rsid w:val="5CFDC638"/>
    <w:rsid w:val="5DF77933"/>
    <w:rsid w:val="60126AA6"/>
    <w:rsid w:val="63620412"/>
    <w:rsid w:val="65F8334A"/>
    <w:rsid w:val="6F5E1F53"/>
    <w:rsid w:val="72E36D0B"/>
    <w:rsid w:val="73C7445E"/>
    <w:rsid w:val="752913AF"/>
    <w:rsid w:val="752F3AB5"/>
    <w:rsid w:val="77F8480C"/>
    <w:rsid w:val="79EFAF21"/>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1"/>
    <w:basedOn w:val="1"/>
    <w:next w:val="1"/>
    <w:semiHidden/>
    <w:qFormat/>
    <w:uiPriority w:val="99"/>
  </w:style>
  <w:style w:type="paragraph" w:styleId="4">
    <w:name w:val="Body Text Indent"/>
    <w:basedOn w:val="1"/>
    <w:qFormat/>
    <w:uiPriority w:val="0"/>
    <w:pPr>
      <w:ind w:firstLine="645"/>
    </w:pPr>
    <w:rPr>
      <w:rFonts w:ascii="仿宋_GB2312" w:eastAsia="仿宋_GB2312"/>
      <w:sz w:val="32"/>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4"/>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2480</Words>
  <Characters>2628</Characters>
  <Lines>19</Lines>
  <Paragraphs>5</Paragraphs>
  <TotalTime>46</TotalTime>
  <ScaleCrop>false</ScaleCrop>
  <LinksUpToDate>false</LinksUpToDate>
  <CharactersWithSpaces>2628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李舒月</cp:lastModifiedBy>
  <cp:lastPrinted>2025-01-07T02:41:00Z</cp:lastPrinted>
  <dcterms:modified xsi:type="dcterms:W3CDTF">2026-02-04T07:16:53Z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8302585B6DD346859342A265EA261286_13</vt:lpwstr>
  </property>
  <property fmtid="{D5CDD505-2E9C-101B-9397-08002B2CF9AE}" pid="3" name="KSOProductBuildVer">
    <vt:lpwstr>2052-12.1.0.25225</vt:lpwstr>
  </property>
  <property fmtid="{D5CDD505-2E9C-101B-9397-08002B2CF9AE}" pid="4" name="KSOTemplateDocerSaveRecord">
    <vt:lpwstr>eyJoZGlkIjoiMjA5YzU0YWI5NWNiMThkYjBmZTRiN2MzZTc1YWYxY2QiLCJ1c2VySWQiOiIxNzY4Mzc4MTMxIn0=</vt:lpwstr>
  </property>
</Properties>
</file>