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EF444">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pacing w:val="-17"/>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台儿庄区</w:t>
      </w: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市场监督管理</w:t>
      </w:r>
      <w:r>
        <w:rPr>
          <w:rFonts w:hint="eastAsia" w:ascii="方正小标宋简体" w:hAnsi="方正小标宋简体" w:eastAsia="方正小标宋简体" w:cs="方正小标宋简体"/>
          <w:bCs/>
          <w:color w:val="333333"/>
          <w:spacing w:val="-17"/>
          <w:sz w:val="44"/>
          <w:szCs w:val="44"/>
          <w:shd w:val="clear" w:color="auto" w:fill="FFFFFF"/>
        </w:rPr>
        <w:t>局</w:t>
      </w:r>
    </w:p>
    <w:p w14:paraId="1E5B9047">
      <w:pPr>
        <w:pStyle w:val="8"/>
        <w:shd w:val="clear" w:color="auto" w:fill="FFFFFF"/>
        <w:spacing w:before="0" w:beforeAutospacing="0" w:after="0" w:afterAutospacing="0" w:line="560" w:lineRule="exact"/>
        <w:jc w:val="center"/>
        <w:rPr>
          <w:rFonts w:hint="eastAsia"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r>
        <w:rPr>
          <w:rFonts w:hint="eastAsia" w:ascii="方正小标宋简体" w:hAnsi="方正小标宋简体" w:eastAsia="方正小标宋简体" w:cs="方正小标宋简体"/>
          <w:bCs/>
          <w:color w:val="333333"/>
          <w:sz w:val="44"/>
          <w:szCs w:val="44"/>
          <w:shd w:val="clear" w:color="auto" w:fill="FFFFFF"/>
        </w:rPr>
        <w:t>年度报告</w:t>
      </w:r>
    </w:p>
    <w:p w14:paraId="5B330D1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kern w:val="2"/>
          <w:sz w:val="32"/>
          <w:szCs w:val="32"/>
          <w:lang w:val="en-US" w:eastAsia="zh-CN" w:bidi="ar-SA"/>
        </w:rPr>
      </w:pPr>
    </w:p>
    <w:p w14:paraId="1220557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中华人民共和国政府信息公开条例》（国务院令第711号）规定，以及台儿庄区人民政府办公室《关于做好2025年政府信息公开工作年度报告编制和发布工作的通知》要求，现将我局2025年度政府信息公开工作报告如下。本报告由总体情况、主动公开政府信息情况、收到和处理政府信息公开申请情况、政府信息公开行政复议、行政诉讼情况、存在的主要问题及改进情况、其他需要报告的事项共六个部分组成。本年度报告中所列数据统计期限从2025年1月1日到2025年12月31日。本年度报告电子版可通过台儿庄区政府门户网站（http://www.tez.gov.cn/）查阅或下载。如对本报有疑问，请与台儿庄区市场监管局联系（地址：枣庄市台儿庄区运河大道4025号；邮编：277499；联系电话：0632-6707010；电子邮箱：tezscjgj@zz.shandong.cn）。</w:t>
      </w:r>
    </w:p>
    <w:p w14:paraId="02DF271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color w:val="333333"/>
          <w:sz w:val="32"/>
          <w:szCs w:val="32"/>
        </w:rPr>
      </w:pPr>
      <w:r>
        <w:rPr>
          <w:rFonts w:hint="eastAsia" w:ascii="黑体" w:hAnsi="黑体" w:eastAsia="黑体" w:cs="黑体"/>
          <w:b w:val="0"/>
          <w:bCs/>
          <w:color w:val="333333"/>
          <w:sz w:val="32"/>
          <w:szCs w:val="32"/>
          <w:shd w:val="clear" w:color="auto" w:fill="FFFFFF"/>
        </w:rPr>
        <w:t>一、总体情况</w:t>
      </w:r>
    </w:p>
    <w:p w14:paraId="704E717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区市场监管局坚持以习近平新时代中国特色社会主义思想为指导，深入贯彻党的二十大和二十届历次全会精神，紧紧围绕区委、区政府中心工作及群众关注关切，严格遵循《中华人民共和国政府信息公开条例》要求，全面推进政府信息公开工作制度化、规范化、常态化建设，现将有关工作情况总结如下。</w:t>
      </w:r>
    </w:p>
    <w:p w14:paraId="6357B4B3">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color w:val="000000" w:themeColor="text1"/>
          <w:sz w:val="32"/>
          <w:szCs w:val="32"/>
          <w14:textFill>
            <w14:solidFill>
              <w14:schemeClr w14:val="tx1"/>
            </w14:solidFill>
          </w14:textFill>
        </w:rPr>
        <w:t>1.主动公开方面。</w:t>
      </w:r>
      <w:r>
        <w:rPr>
          <w:rFonts w:hint="eastAsia" w:ascii="仿宋_GB2312" w:hAnsi="仿宋_GB2312" w:eastAsia="仿宋_GB2312" w:cs="仿宋_GB2312"/>
          <w:kern w:val="2"/>
          <w:sz w:val="32"/>
          <w:szCs w:val="32"/>
          <w:lang w:val="en-US" w:eastAsia="zh-CN" w:bidi="ar-SA"/>
        </w:rPr>
        <w:t>2025年我局公开政府信息49条，包含食品安全抽检信息、产品质量抽检信息、消费提示、部门会议、行政执法决定、政府工作报告目标任务进展情况等。在微信公众号发布市场监管领域有关信息480余条，全面展示了我局的具体工作与成效。</w:t>
      </w:r>
    </w:p>
    <w:p w14:paraId="2A428D08">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2.依申请公开工作方面。</w:t>
      </w:r>
      <w:r>
        <w:rPr>
          <w:rFonts w:hint="eastAsia" w:ascii="仿宋_GB2312" w:hAnsi="仿宋_GB2312" w:eastAsia="仿宋_GB2312" w:cs="仿宋_GB2312"/>
          <w:kern w:val="2"/>
          <w:sz w:val="32"/>
          <w:szCs w:val="32"/>
          <w:lang w:val="en-US" w:eastAsia="zh-CN" w:bidi="ar-SA"/>
        </w:rPr>
        <w:t>全年依法依规办理公民提交的政务信息公开申请13件，其中上年结转0件，办结13件。处理信息公开类行政复议2起。</w:t>
      </w:r>
    </w:p>
    <w:p w14:paraId="08FF99DA">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3.政府信息管理方面。</w:t>
      </w:r>
      <w:r>
        <w:rPr>
          <w:rFonts w:hint="eastAsia" w:ascii="仿宋_GB2312" w:hAnsi="仿宋_GB2312" w:eastAsia="仿宋_GB2312" w:cs="仿宋_GB2312"/>
          <w:sz w:val="32"/>
          <w:szCs w:val="32"/>
        </w:rPr>
        <w:t>安排专人负责政府信息公开平台的信息发布与管理，</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时更新行政处罚、抽查结果等变动频繁的信息，及时清理不再适用的存量信息。</w:t>
      </w:r>
      <w:r>
        <w:rPr>
          <w:rFonts w:hint="eastAsia" w:ascii="仿宋_GB2312" w:hAnsi="仿宋_GB2312" w:eastAsia="仿宋_GB2312" w:cs="仿宋_GB2312"/>
          <w:sz w:val="32"/>
          <w:szCs w:val="32"/>
          <w:lang w:val="en-US" w:eastAsia="zh-CN"/>
        </w:rPr>
        <w:t>严格落实</w:t>
      </w:r>
      <w:r>
        <w:rPr>
          <w:rFonts w:hint="eastAsia" w:ascii="仿宋_GB2312" w:hAnsi="仿宋_GB2312" w:eastAsia="仿宋_GB2312" w:cs="仿宋_GB2312"/>
          <w:sz w:val="32"/>
          <w:szCs w:val="32"/>
        </w:rPr>
        <w:t>政府信息公开保密审查制度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做到涉密信息不上网。</w:t>
      </w:r>
    </w:p>
    <w:p w14:paraId="2EE7B708">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4.平台建设方面。</w:t>
      </w:r>
      <w:r>
        <w:rPr>
          <w:rFonts w:hint="eastAsia" w:ascii="仿宋_GB2312" w:hAnsi="仿宋_GB2312" w:eastAsia="仿宋_GB2312" w:cs="仿宋_GB2312"/>
          <w:sz w:val="32"/>
          <w:szCs w:val="32"/>
        </w:rPr>
        <w:t>我局以区政府网站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政务新媒体-微信公众号</w:t>
      </w:r>
      <w:r>
        <w:rPr>
          <w:rFonts w:hint="eastAsia" w:ascii="仿宋_GB2312" w:hAnsi="仿宋_GB2312" w:eastAsia="仿宋_GB2312" w:cs="仿宋_GB2312"/>
          <w:sz w:val="32"/>
          <w:szCs w:val="32"/>
        </w:rPr>
        <w:t>为依托，主动公开发布</w:t>
      </w:r>
      <w:r>
        <w:rPr>
          <w:rFonts w:hint="eastAsia" w:ascii="仿宋_GB2312" w:hAnsi="仿宋_GB2312" w:eastAsia="仿宋_GB2312" w:cs="仿宋_GB2312"/>
          <w:sz w:val="32"/>
          <w:szCs w:val="32"/>
          <w:lang w:val="en-US" w:eastAsia="zh-CN"/>
        </w:rPr>
        <w:t>食品药品安全科普信息、特种设备安全、工业产品质量安全、消费维权、食品抽检结果、执法结果公示等</w:t>
      </w:r>
      <w:r>
        <w:rPr>
          <w:rFonts w:hint="eastAsia" w:ascii="仿宋_GB2312" w:hAnsi="仿宋_GB2312" w:eastAsia="仿宋_GB2312" w:cs="仿宋_GB2312"/>
          <w:sz w:val="32"/>
          <w:szCs w:val="32"/>
        </w:rPr>
        <w:t>群众关心的信息，保障</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栏目的正常运行。</w:t>
      </w:r>
    </w:p>
    <w:p w14:paraId="1F8A04B4">
      <w:pPr>
        <w:spacing w:line="560" w:lineRule="exact"/>
        <w:ind w:firstLine="618" w:firstLineChars="200"/>
        <w:rPr>
          <w:rFonts w:ascii="仿宋_GB2312" w:hAnsi="仿宋_GB2312" w:eastAsia="仿宋_GB2312" w:cs="仿宋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5.监督保障方面。</w:t>
      </w:r>
      <w:r>
        <w:rPr>
          <w:rFonts w:hint="eastAsia" w:ascii="仿宋_GB2312" w:hAnsi="仿宋_GB2312" w:eastAsia="仿宋_GB2312" w:cs="仿宋_GB2312"/>
          <w:sz w:val="32"/>
          <w:szCs w:val="32"/>
        </w:rPr>
        <w:t>规范政府信息公开发布、保密审查等流程，</w:t>
      </w:r>
      <w:r>
        <w:rPr>
          <w:rFonts w:hint="eastAsia" w:ascii="仿宋_GB2312" w:hAnsi="仿宋_GB2312" w:eastAsia="仿宋_GB2312" w:cs="仿宋_GB2312"/>
          <w:sz w:val="32"/>
          <w:szCs w:val="32"/>
          <w:lang w:val="en-US" w:eastAsia="zh-CN"/>
        </w:rPr>
        <w:t>组织相关人员加强</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不断</w:t>
      </w:r>
      <w:r>
        <w:rPr>
          <w:rFonts w:hint="eastAsia" w:ascii="仿宋_GB2312" w:hAnsi="仿宋_GB2312" w:eastAsia="仿宋_GB2312" w:cs="仿宋_GB2312"/>
          <w:sz w:val="32"/>
          <w:szCs w:val="32"/>
        </w:rPr>
        <w:t>提升信息公开质量。对</w:t>
      </w:r>
      <w:r>
        <w:rPr>
          <w:rFonts w:hint="eastAsia" w:ascii="仿宋_GB2312" w:hAnsi="仿宋_GB2312" w:eastAsia="仿宋_GB2312" w:cs="仿宋_GB2312"/>
          <w:sz w:val="32"/>
          <w:szCs w:val="32"/>
          <w:lang w:val="en-US" w:eastAsia="zh-CN"/>
        </w:rPr>
        <w:t>信息公开申请等情况加强综合分析研判</w:t>
      </w:r>
      <w:r>
        <w:rPr>
          <w:rFonts w:hint="eastAsia" w:ascii="仿宋_GB2312" w:hAnsi="仿宋_GB2312" w:eastAsia="仿宋_GB2312" w:cs="仿宋_GB2312"/>
          <w:sz w:val="32"/>
          <w:szCs w:val="32"/>
        </w:rPr>
        <w:t>，切实做到依申请公开答复准确严谨、合法合规。</w:t>
      </w:r>
    </w:p>
    <w:p w14:paraId="73CD11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both"/>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eastAsia"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261</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61</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bl>
    <w:p w14:paraId="20FD6CC6">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szCs w:val="21"/>
              </w:rPr>
            </w:pPr>
            <w:r>
              <w:rPr>
                <w:rFonts w:hint="eastAsia" w:ascii="黑体" w:hAnsi="黑体" w:eastAsia="黑体"/>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szCs w:val="21"/>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13</w:t>
            </w:r>
          </w:p>
        </w:tc>
        <w:tc>
          <w:tcPr>
            <w:tcW w:w="540" w:type="dxa"/>
            <w:shd w:val="clear" w:color="auto" w:fill="auto"/>
            <w:tcMar>
              <w:left w:w="108" w:type="dxa"/>
              <w:right w:w="108" w:type="dxa"/>
            </w:tcMar>
            <w:vAlign w:val="center"/>
          </w:tcPr>
          <w:p w14:paraId="22FC440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EB7936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7175B54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37B97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633A8B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060F45D4">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13</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CCDF5A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3A724B6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43C30481">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D6EC306">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32984CF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3A066E8C">
            <w:pPr>
              <w:widowControl/>
              <w:spacing w:line="240" w:lineRule="exact"/>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szCs w:val="21"/>
              </w:rPr>
            </w:pPr>
          </w:p>
        </w:tc>
        <w:tc>
          <w:tcPr>
            <w:tcW w:w="4677" w:type="dxa"/>
            <w:gridSpan w:val="2"/>
            <w:shd w:val="clear" w:color="auto" w:fill="auto"/>
            <w:tcMar>
              <w:left w:w="108" w:type="dxa"/>
              <w:right w:w="108" w:type="dxa"/>
            </w:tcMar>
            <w:vAlign w:val="center"/>
          </w:tcPr>
          <w:p w14:paraId="0B4B7D1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4</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szCs w:val="21"/>
              </w:rPr>
            </w:pPr>
          </w:p>
        </w:tc>
        <w:tc>
          <w:tcPr>
            <w:tcW w:w="1701" w:type="dxa"/>
            <w:vMerge w:val="restart"/>
            <w:shd w:val="clear" w:color="auto" w:fill="auto"/>
            <w:tcMar>
              <w:left w:w="108" w:type="dxa"/>
              <w:right w:w="108" w:type="dxa"/>
            </w:tcMar>
            <w:vAlign w:val="center"/>
          </w:tcPr>
          <w:p w14:paraId="73FB48F8">
            <w:pPr>
              <w:widowControl/>
              <w:spacing w:line="200" w:lineRule="exact"/>
              <w:ind w:left="-101"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6663FA0">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szCs w:val="21"/>
              </w:rPr>
            </w:pPr>
          </w:p>
        </w:tc>
        <w:tc>
          <w:tcPr>
            <w:tcW w:w="1701" w:type="dxa"/>
            <w:vMerge w:val="continue"/>
            <w:shd w:val="clear" w:color="auto" w:fill="auto"/>
            <w:tcMar>
              <w:left w:w="108" w:type="dxa"/>
              <w:right w:w="108" w:type="dxa"/>
            </w:tcMar>
            <w:vAlign w:val="center"/>
          </w:tcPr>
          <w:p w14:paraId="4CFC694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AB6080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1F0D5A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szCs w:val="21"/>
              </w:rPr>
            </w:pPr>
          </w:p>
        </w:tc>
        <w:tc>
          <w:tcPr>
            <w:tcW w:w="1701" w:type="dxa"/>
            <w:vMerge w:val="continue"/>
            <w:shd w:val="clear" w:color="auto" w:fill="auto"/>
            <w:tcMar>
              <w:left w:w="108" w:type="dxa"/>
              <w:right w:w="108" w:type="dxa"/>
            </w:tcMar>
            <w:vAlign w:val="center"/>
          </w:tcPr>
          <w:p w14:paraId="35E8E4B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087E29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szCs w:val="21"/>
              </w:rPr>
            </w:pPr>
          </w:p>
        </w:tc>
        <w:tc>
          <w:tcPr>
            <w:tcW w:w="1701" w:type="dxa"/>
            <w:vMerge w:val="continue"/>
            <w:shd w:val="clear" w:color="auto" w:fill="auto"/>
            <w:tcMar>
              <w:left w:w="108" w:type="dxa"/>
              <w:right w:w="108" w:type="dxa"/>
            </w:tcMar>
            <w:vAlign w:val="center"/>
          </w:tcPr>
          <w:p w14:paraId="0A7C70A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9838D1A">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szCs w:val="21"/>
              </w:rPr>
            </w:pPr>
          </w:p>
        </w:tc>
        <w:tc>
          <w:tcPr>
            <w:tcW w:w="1701" w:type="dxa"/>
            <w:vMerge w:val="continue"/>
            <w:shd w:val="clear" w:color="auto" w:fill="auto"/>
            <w:tcMar>
              <w:left w:w="108" w:type="dxa"/>
              <w:right w:w="108" w:type="dxa"/>
            </w:tcMar>
            <w:vAlign w:val="center"/>
          </w:tcPr>
          <w:p w14:paraId="2E92121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2C3C094">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FC0AD1">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szCs w:val="21"/>
              </w:rPr>
            </w:pPr>
          </w:p>
        </w:tc>
        <w:tc>
          <w:tcPr>
            <w:tcW w:w="1701" w:type="dxa"/>
            <w:vMerge w:val="continue"/>
            <w:shd w:val="clear" w:color="auto" w:fill="auto"/>
            <w:tcMar>
              <w:left w:w="108" w:type="dxa"/>
              <w:right w:w="108" w:type="dxa"/>
            </w:tcMar>
            <w:vAlign w:val="center"/>
          </w:tcPr>
          <w:p w14:paraId="06B97E8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AE7336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582C8F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szCs w:val="21"/>
              </w:rPr>
            </w:pPr>
          </w:p>
        </w:tc>
        <w:tc>
          <w:tcPr>
            <w:tcW w:w="1701" w:type="dxa"/>
            <w:vMerge w:val="continue"/>
            <w:shd w:val="clear" w:color="auto" w:fill="auto"/>
            <w:tcMar>
              <w:left w:w="108" w:type="dxa"/>
              <w:right w:w="108" w:type="dxa"/>
            </w:tcMar>
            <w:vAlign w:val="center"/>
          </w:tcPr>
          <w:p w14:paraId="5E25D43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501163">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szCs w:val="21"/>
              </w:rPr>
            </w:pPr>
          </w:p>
        </w:tc>
        <w:tc>
          <w:tcPr>
            <w:tcW w:w="1701" w:type="dxa"/>
            <w:vMerge w:val="continue"/>
            <w:shd w:val="clear" w:color="auto" w:fill="auto"/>
            <w:tcMar>
              <w:left w:w="108" w:type="dxa"/>
              <w:right w:w="108" w:type="dxa"/>
            </w:tcMar>
            <w:vAlign w:val="center"/>
          </w:tcPr>
          <w:p w14:paraId="5F9EE04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2A580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szCs w:val="21"/>
              </w:rPr>
            </w:pPr>
          </w:p>
        </w:tc>
        <w:tc>
          <w:tcPr>
            <w:tcW w:w="1701" w:type="dxa"/>
            <w:vMerge w:val="restart"/>
            <w:shd w:val="clear" w:color="auto" w:fill="auto"/>
            <w:tcMar>
              <w:left w:w="108" w:type="dxa"/>
              <w:right w:w="108" w:type="dxa"/>
            </w:tcMar>
            <w:vAlign w:val="center"/>
          </w:tcPr>
          <w:p w14:paraId="0F47F490">
            <w:pPr>
              <w:widowControl/>
              <w:spacing w:line="200" w:lineRule="exact"/>
              <w:ind w:left="-101"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0D0E83">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0DF1DB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szCs w:val="21"/>
              </w:rPr>
            </w:pPr>
          </w:p>
        </w:tc>
        <w:tc>
          <w:tcPr>
            <w:tcW w:w="1701" w:type="dxa"/>
            <w:vMerge w:val="continue"/>
            <w:shd w:val="clear" w:color="auto" w:fill="auto"/>
            <w:tcMar>
              <w:left w:w="108" w:type="dxa"/>
              <w:right w:w="108" w:type="dxa"/>
            </w:tcMar>
            <w:vAlign w:val="center"/>
          </w:tcPr>
          <w:p w14:paraId="6BB3A0A8">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3191C69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2A19C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szCs w:val="21"/>
              </w:rPr>
            </w:pPr>
          </w:p>
        </w:tc>
        <w:tc>
          <w:tcPr>
            <w:tcW w:w="1701" w:type="dxa"/>
            <w:vMerge w:val="continue"/>
            <w:shd w:val="clear" w:color="auto" w:fill="auto"/>
            <w:tcMar>
              <w:left w:w="108" w:type="dxa"/>
              <w:right w:w="108" w:type="dxa"/>
            </w:tcMar>
            <w:vAlign w:val="center"/>
          </w:tcPr>
          <w:p w14:paraId="470165DA">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2B77E1B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szCs w:val="21"/>
              </w:rPr>
            </w:pPr>
          </w:p>
        </w:tc>
        <w:tc>
          <w:tcPr>
            <w:tcW w:w="1701" w:type="dxa"/>
            <w:vMerge w:val="restart"/>
            <w:shd w:val="clear" w:color="auto" w:fill="auto"/>
            <w:tcMar>
              <w:left w:w="108" w:type="dxa"/>
              <w:right w:w="108" w:type="dxa"/>
            </w:tcMar>
            <w:vAlign w:val="center"/>
          </w:tcPr>
          <w:p w14:paraId="3D4C128B">
            <w:pPr>
              <w:widowControl/>
              <w:spacing w:line="200" w:lineRule="exact"/>
              <w:ind w:left="-101"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738EF42A">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szCs w:val="21"/>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BD8AD0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szCs w:val="21"/>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BD9A9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szCs w:val="21"/>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CAA27F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szCs w:val="21"/>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27143C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widowControl/>
              <w:spacing w:line="300" w:lineRule="exact"/>
              <w:ind w:firstLine="199"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szCs w:val="21"/>
              </w:rPr>
            </w:pPr>
          </w:p>
        </w:tc>
        <w:tc>
          <w:tcPr>
            <w:tcW w:w="1701" w:type="dxa"/>
            <w:vMerge w:val="restart"/>
            <w:shd w:val="clear" w:color="auto" w:fill="auto"/>
            <w:tcMar>
              <w:left w:w="108" w:type="dxa"/>
              <w:right w:w="108" w:type="dxa"/>
            </w:tcMar>
            <w:vAlign w:val="center"/>
          </w:tcPr>
          <w:p w14:paraId="534DC083">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786BAE4">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szCs w:val="21"/>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kern w:val="0"/>
                <w:szCs w:val="21"/>
              </w:rPr>
            </w:pPr>
          </w:p>
        </w:tc>
        <w:tc>
          <w:tcPr>
            <w:tcW w:w="2976" w:type="dxa"/>
            <w:shd w:val="clear" w:color="auto" w:fill="auto"/>
            <w:vAlign w:val="center"/>
          </w:tcPr>
          <w:p w14:paraId="6E424221">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rPr>
                <w:rFonts w:ascii="黑体" w:hAnsi="黑体" w:eastAsia="黑体"/>
                <w:szCs w:val="21"/>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kern w:val="0"/>
                <w:szCs w:val="21"/>
              </w:rPr>
            </w:pPr>
          </w:p>
        </w:tc>
        <w:tc>
          <w:tcPr>
            <w:tcW w:w="2976" w:type="dxa"/>
            <w:shd w:val="clear" w:color="auto" w:fill="auto"/>
            <w:vAlign w:val="center"/>
          </w:tcPr>
          <w:p w14:paraId="17ECD16F">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14:paraId="269D0033">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13</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szCs w:val="21"/>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13</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2992A8F">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13</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14:paraId="55BE112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30A60405">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72B1D870">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076E4088">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24DBF162">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6D1FBE5B">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2</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0D641DF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五、存在的主要问题及改进情况</w:t>
      </w:r>
    </w:p>
    <w:p w14:paraId="310AD5FD">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default" w:ascii="仿宋_GB2312" w:hAnsi="仿宋_GB2312" w:eastAsia="仿宋_GB2312" w:cs="仿宋_GB2312"/>
          <w:color w:val="0000FF"/>
          <w:kern w:val="2"/>
          <w:sz w:val="32"/>
          <w:szCs w:val="32"/>
          <w:lang w:val="en-US" w:eastAsia="zh-CN"/>
        </w:rPr>
      </w:pPr>
      <w:r>
        <w:rPr>
          <w:rFonts w:hint="eastAsia" w:ascii="仿宋_GB2312" w:hAnsi="仿宋_GB2312" w:eastAsia="仿宋_GB2312" w:cs="仿宋_GB2312"/>
          <w:color w:val="auto"/>
          <w:kern w:val="2"/>
          <w:sz w:val="32"/>
          <w:szCs w:val="32"/>
          <w:lang w:val="en-US" w:eastAsia="zh-CN"/>
        </w:rPr>
        <w:t>2025年，我局政府信息公开工作仍存在一些不足，主要表现在：依申请政府信息公开答复的程序和细节还需进一步优化；信息公开的内容还需进一步丰富。针对存在的问题，主要采取以下措施加以改进，一是加强工作人员的业务培训，加强《政府信息公开条例》及有关答复文档使用的学习，重点针对产生行政复议的类型加强相关案例、司法部门解释的学习使用，提高答复的准确性。二是进一步梳理本单位公开事项，增加主动公开内容的频次，结合政府开放日等活动，主动收集社情民意，及时回应群众关切，切实提升政府信息公开工作的透明度和互动性。</w:t>
      </w:r>
      <w:bookmarkStart w:id="10" w:name="_GoBack"/>
      <w:bookmarkEnd w:id="10"/>
    </w:p>
    <w:p w14:paraId="49F097C6">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000000" w:themeColor="text1"/>
          <w:sz w:val="32"/>
          <w:szCs w:val="32"/>
          <w:shd w:val="clear" w:color="auto" w:fill="FFFFFF"/>
          <w:lang w:bidi="ar"/>
          <w14:textFill>
            <w14:solidFill>
              <w14:schemeClr w14:val="tx1"/>
            </w14:solidFill>
          </w14:textFill>
        </w:rPr>
      </w:pPr>
      <w:r>
        <w:rPr>
          <w:rFonts w:hint="eastAsia" w:ascii="黑体" w:hAnsi="黑体" w:eastAsia="黑体" w:cs="黑体"/>
          <w:bCs/>
          <w:color w:val="000000" w:themeColor="text1"/>
          <w:sz w:val="32"/>
          <w:szCs w:val="32"/>
          <w:shd w:val="clear" w:color="auto" w:fill="FFFFFF"/>
          <w:lang w:bidi="ar"/>
          <w14:textFill>
            <w14:solidFill>
              <w14:schemeClr w14:val="tx1"/>
            </w14:solidFill>
          </w14:textFill>
        </w:rPr>
        <w:t>六、其他需要报告的事项</w:t>
      </w:r>
    </w:p>
    <w:p w14:paraId="6E6189D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（一）收取信息处理费情况</w:t>
      </w:r>
    </w:p>
    <w:p w14:paraId="432D20E4">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2025年未产生信息处理费</w:t>
      </w:r>
      <w:r>
        <w:rPr>
          <w:rFonts w:ascii="仿宋_GB2312" w:hAnsi="仿宋_GB2312" w:eastAsia="仿宋_GB2312" w:cs="仿宋_GB2312"/>
          <w:color w:val="000000" w:themeColor="text1"/>
          <w:sz w:val="32"/>
          <w:szCs w:val="32"/>
          <w14:textFill>
            <w14:solidFill>
              <w14:schemeClr w14:val="tx1"/>
            </w14:solidFill>
          </w14:textFill>
        </w:rPr>
        <w:t>。</w:t>
      </w:r>
    </w:p>
    <w:p w14:paraId="05D6F546">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（二）落实上级年度政务公开工作要点情况</w:t>
      </w:r>
    </w:p>
    <w:p w14:paraId="0D896581">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根据上级要求，结合市场监管职责任务，加强微信公众号等政务新媒体平台使用，</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在微信公众号发布、转发各类信息480余篇，其中发布工作动态16期</w:t>
      </w:r>
      <w:r>
        <w:rPr>
          <w:rFonts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严格落实信息公开保密审核和“三审三校”制度，守好“内容关”“安全关”，确保信息内容准确、文字表述准确，无重大表述失误。</w:t>
      </w:r>
    </w:p>
    <w:p w14:paraId="7674EC57">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（三）人大代表建议和政协提案办理结果公开情况</w:t>
      </w:r>
    </w:p>
    <w:p w14:paraId="253E752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2025年我局主办</w:t>
      </w:r>
      <w:r>
        <w:rPr>
          <w:rFonts w:hint="eastAsia" w:ascii="仿宋_GB2312" w:hAnsi="仿宋_GB2312" w:eastAsia="仿宋_GB2312" w:cs="仿宋_GB2312"/>
          <w:color w:val="000000" w:themeColor="text1"/>
          <w:sz w:val="32"/>
          <w:szCs w:val="32"/>
          <w14:textFill>
            <w14:solidFill>
              <w14:schemeClr w14:val="tx1"/>
            </w14:solidFill>
          </w14:textFill>
        </w:rPr>
        <w:t>区十三届人大四次会议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代表建议1件，主办区政协十届四次会议委员提案4件，均通过区政府网站予以公开</w:t>
      </w:r>
      <w:r>
        <w:rPr>
          <w:rFonts w:hint="eastAsia" w:ascii="仿宋_GB2312" w:hAnsi="仿宋_GB2312" w:eastAsia="仿宋_GB2312" w:cs="仿宋_GB2312"/>
          <w:color w:val="000000" w:themeColor="text1"/>
          <w:sz w:val="32"/>
          <w:szCs w:val="32"/>
          <w14:textFill>
            <w14:solidFill>
              <w14:schemeClr w14:val="tx1"/>
            </w14:solidFill>
          </w14:textFill>
        </w:rPr>
        <w:t>。</w:t>
      </w:r>
    </w:p>
    <w:p w14:paraId="68202A49">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（四）政务公开工作创新情况</w:t>
      </w:r>
    </w:p>
    <w:p w14:paraId="27A0498E">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4B32817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（五）本行政机关政府信息公开工作年度报告数据统计需要说明的事项</w:t>
      </w:r>
    </w:p>
    <w:p w14:paraId="3430C55C">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报告中所列数据的统计期限自</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年1月1日起至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2025</w:t>
      </w:r>
      <w:r>
        <w:rPr>
          <w:rFonts w:hint="eastAsia" w:ascii="仿宋_GB2312" w:hAnsi="仿宋_GB2312" w:eastAsia="仿宋_GB2312" w:cs="仿宋_GB2312"/>
          <w:color w:val="000000" w:themeColor="text1"/>
          <w:sz w:val="32"/>
          <w:szCs w:val="32"/>
          <w14:textFill>
            <w14:solidFill>
              <w14:schemeClr w14:val="tx1"/>
            </w14:solidFill>
          </w14:textFill>
        </w:rPr>
        <w:t>年12月31日止。</w:t>
      </w:r>
    </w:p>
    <w:p w14:paraId="5E0547C5">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（六）本行政机关认为需要报告的其他事项</w:t>
      </w:r>
    </w:p>
    <w:p w14:paraId="44C37442">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29EB843A">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（七）其他有关文件专门要求通过政府信息公开工作年度报告予以报告的事项</w:t>
      </w:r>
    </w:p>
    <w:p w14:paraId="3F3F3121">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r>
        <w:rPr>
          <w:rFonts w:hint="eastAsia" w:ascii="仿宋_GB2312" w:hAnsi="仿宋_GB2312" w:eastAsia="仿宋_GB2312" w:cs="仿宋_GB2312"/>
          <w:color w:val="000000" w:themeColor="text1"/>
          <w:sz w:val="32"/>
          <w:szCs w:val="32"/>
          <w14:textFill>
            <w14:solidFill>
              <w14:schemeClr w14:val="tx1"/>
            </w14:solidFill>
          </w14:textFill>
        </w:rPr>
        <w:t>。</w:t>
      </w:r>
    </w:p>
    <w:p w14:paraId="4B22FDC7">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1E0F3230">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台儿庄区市场监督管理局</w:t>
      </w:r>
    </w:p>
    <w:p w14:paraId="27DAF3F7">
      <w:pPr>
        <w:spacing w:line="560" w:lineRule="exact"/>
        <w:ind w:firstLine="618" w:firstLineChars="200"/>
        <w:jc w:val="right"/>
        <w:rPr>
          <w:rFonts w:ascii="仿宋_GB2312" w:hAnsi="仿宋_GB2312" w:eastAsia="仿宋_GB2312" w:cs="Calibri"/>
          <w:sz w:val="32"/>
          <w:szCs w:val="32"/>
          <w:shd w:val="clear" w:color="auto" w:fill="FFFFFF"/>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2026年1月21日</w:t>
      </w:r>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CB10BC-812C-4423-B4DD-60451B0F7B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66AAA03-B1B8-4E13-8FFB-2B3867750765}"/>
  </w:font>
  <w:font w:name="仿宋_GB2312">
    <w:panose1 w:val="02010609030101010101"/>
    <w:charset w:val="86"/>
    <w:family w:val="modern"/>
    <w:pitch w:val="default"/>
    <w:sig w:usb0="00000001" w:usb1="080E0000" w:usb2="00000000" w:usb3="00000000" w:csb0="00040000" w:csb1="00000000"/>
    <w:embedRegular r:id="rId3" w:fontKey="{B13F6068-1509-4F28-9D3D-065B70AE8C54}"/>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4" w:fontKey="{6D2553A0-70FC-4EC5-9261-A2EEA41778A1}"/>
  </w:font>
  <w:font w:name="楷体_GB2312">
    <w:panose1 w:val="02010609030101010101"/>
    <w:charset w:val="86"/>
    <w:family w:val="modern"/>
    <w:pitch w:val="default"/>
    <w:sig w:usb0="00000001" w:usb1="080E0000" w:usb2="00000000" w:usb3="00000000" w:csb0="00040000" w:csb1="00000000"/>
    <w:embedRegular r:id="rId5" w:fontKey="{55A3B2E1-AFC3-4981-B17A-BE1320F5E7F3}"/>
  </w:font>
  <w:font w:name="楷体">
    <w:panose1 w:val="02010609060101010101"/>
    <w:charset w:val="86"/>
    <w:family w:val="modern"/>
    <w:pitch w:val="default"/>
    <w:sig w:usb0="800002BF" w:usb1="38CF7CFA" w:usb2="00000016" w:usb3="00000000" w:csb0="00040001" w:csb1="00000000"/>
    <w:embedRegular r:id="rId6" w:fontKey="{63E45A97-F3E1-44FB-8A76-0C87FA5734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6"/>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3F2D9BBE">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6"/>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737F09A">
    <w:pPr>
      <w:pStyle w:val="6"/>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85C148C"/>
    <w:rsid w:val="147E4E1C"/>
    <w:rsid w:val="169F72CB"/>
    <w:rsid w:val="1ADD5D48"/>
    <w:rsid w:val="22DE784D"/>
    <w:rsid w:val="27F616BE"/>
    <w:rsid w:val="2B300A31"/>
    <w:rsid w:val="2E1B3EB1"/>
    <w:rsid w:val="34EC3754"/>
    <w:rsid w:val="3B5E96CB"/>
    <w:rsid w:val="3FE78241"/>
    <w:rsid w:val="42C6780A"/>
    <w:rsid w:val="57F95408"/>
    <w:rsid w:val="584E37D7"/>
    <w:rsid w:val="59BDE728"/>
    <w:rsid w:val="5A8D766B"/>
    <w:rsid w:val="5CFDC638"/>
    <w:rsid w:val="5DF77933"/>
    <w:rsid w:val="60126AA6"/>
    <w:rsid w:val="63620412"/>
    <w:rsid w:val="65F8334A"/>
    <w:rsid w:val="6F5E1F53"/>
    <w:rsid w:val="72E36D0B"/>
    <w:rsid w:val="73C7445E"/>
    <w:rsid w:val="752913AF"/>
    <w:rsid w:val="752F3AB5"/>
    <w:rsid w:val="77F8480C"/>
    <w:rsid w:val="79EFAF21"/>
    <w:rsid w:val="7F7B8340"/>
    <w:rsid w:val="A5F996A9"/>
    <w:rsid w:val="C75F89AF"/>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oc 1"/>
    <w:basedOn w:val="1"/>
    <w:next w:val="1"/>
    <w:semiHidden/>
    <w:qFormat/>
    <w:uiPriority w:val="99"/>
  </w:style>
  <w:style w:type="paragraph" w:styleId="4">
    <w:name w:val="Body Text Indent"/>
    <w:basedOn w:val="1"/>
    <w:qFormat/>
    <w:uiPriority w:val="0"/>
    <w:pPr>
      <w:ind w:firstLine="645"/>
    </w:pPr>
    <w:rPr>
      <w:rFonts w:ascii="仿宋_GB2312" w:eastAsia="仿宋_GB2312"/>
      <w:sz w:val="32"/>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4"/>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2153</Words>
  <Characters>2289</Characters>
  <Lines>19</Lines>
  <Paragraphs>5</Paragraphs>
  <TotalTime>46</TotalTime>
  <ScaleCrop>false</ScaleCrop>
  <LinksUpToDate>false</LinksUpToDate>
  <CharactersWithSpaces>2289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2025-01-07T02:43:00Z</dcterms:created>
  <dc:creator>Administrator</dc:creator>
  <cp:lastModifiedBy>华灯</cp:lastModifiedBy>
  <cp:lastPrinted>2025-01-07T02:41:00Z</cp:lastPrinted>
  <dcterms:modified xsi:type="dcterms:W3CDTF">2026-01-22T06:31:35Z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8302585B6DD346859342A265EA261286_13</vt:lpwstr>
  </property>
  <property fmtid="{D5CDD505-2E9C-101B-9397-08002B2CF9AE}" pid="3" name="KSOProductBuildVer">
    <vt:lpwstr>2052-12.1.0.24657</vt:lpwstr>
  </property>
  <property fmtid="{D5CDD505-2E9C-101B-9397-08002B2CF9AE}" pid="4" name="KSOTemplateDocerSaveRecord">
    <vt:lpwstr>eyJoZGlkIjoiOWNhYmZhOTZlYmE2NDc5MjVkMWVlZGRmY2NkMTQ3YTEiLCJ1c2VySWQiOiI0NjM5Mzc3NzgifQ==</vt:lpwstr>
  </property>
</Properties>
</file>