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C7C3C">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台儿庄区</w:t>
      </w:r>
      <w:r>
        <w:rPr>
          <w:rFonts w:hint="eastAsia" w:ascii="方正小标宋简体" w:hAnsi="sans-serif" w:eastAsia="方正小标宋简体" w:cs="仿宋_GB2312"/>
          <w:color w:val="000000" w:themeColor="text1"/>
          <w:sz w:val="44"/>
          <w:szCs w:val="44"/>
          <w14:textFill>
            <w14:solidFill>
              <w14:schemeClr w14:val="tx1"/>
            </w14:solidFill>
          </w14:textFill>
        </w:rPr>
        <w:t>商务和投资促进</w:t>
      </w:r>
      <w:r>
        <w:rPr>
          <w:rFonts w:hint="eastAsia" w:ascii="方正小标宋简体" w:hAnsi="方正小标宋简体" w:eastAsia="方正小标宋简体" w:cs="方正小标宋简体"/>
          <w:bCs/>
          <w:color w:val="333333"/>
          <w:spacing w:val="-17"/>
          <w:sz w:val="44"/>
          <w:szCs w:val="44"/>
          <w:shd w:val="clear" w:color="auto" w:fill="FFFFFF"/>
        </w:rPr>
        <w:t>局</w:t>
      </w:r>
    </w:p>
    <w:p w14:paraId="1E5B9047">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56A4AAA2">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p>
    <w:p w14:paraId="12205576">
      <w:pPr>
        <w:pStyle w:val="8"/>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仿宋_GB2312"/>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根据《中华人民共和国政府信息公开条例》（国务院令第711号）相关规定及《台儿庄区人民政府办公室关于做好202</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5</w:t>
      </w:r>
      <w:r>
        <w:rPr>
          <w:rFonts w:hint="eastAsia" w:ascii="仿宋_GB2312" w:hAnsi="sans-serif" w:eastAsia="仿宋_GB2312" w:cs="仿宋_GB2312"/>
          <w:color w:val="000000" w:themeColor="text1"/>
          <w:sz w:val="32"/>
          <w:szCs w:val="32"/>
          <w14:textFill>
            <w14:solidFill>
              <w14:schemeClr w14:val="tx1"/>
            </w14:solidFill>
          </w14:textFill>
        </w:rPr>
        <w:t>年政府信息公开工作年度报告编制和发布工作的通知》要求，现向社会公布台儿庄区商务和投资促进局202</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5</w:t>
      </w:r>
      <w:r>
        <w:rPr>
          <w:rFonts w:hint="eastAsia" w:ascii="仿宋_GB2312" w:hAnsi="sans-serif" w:eastAsia="仿宋_GB2312" w:cs="仿宋_GB2312"/>
          <w:color w:val="000000" w:themeColor="text1"/>
          <w:sz w:val="32"/>
          <w:szCs w:val="32"/>
          <w14:textFill>
            <w14:solidFill>
              <w14:schemeClr w14:val="tx1"/>
            </w14:solidFill>
          </w14:textFill>
        </w:rPr>
        <w:t>年度政府信息公开报告。本报告由总体情况、主动公开政府信息情况、收到和处理政府信息公开申请情况、政府信息公开行政复议、行政诉讼情况、存在的主要问题及改进情况、其他需要报告的事项共六个部分组成。本报告中所列数据的统计时限为202</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5</w:t>
      </w:r>
      <w:r>
        <w:rPr>
          <w:rFonts w:hint="eastAsia" w:ascii="仿宋_GB2312" w:hAnsi="sans-serif" w:eastAsia="仿宋_GB2312" w:cs="仿宋_GB2312"/>
          <w:color w:val="000000" w:themeColor="text1"/>
          <w:sz w:val="32"/>
          <w:szCs w:val="32"/>
          <w14:textFill>
            <w14:solidFill>
              <w14:schemeClr w14:val="tx1"/>
            </w14:solidFill>
          </w14:textFill>
        </w:rPr>
        <w:t>年1月1日至202</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5</w:t>
      </w:r>
      <w:r>
        <w:rPr>
          <w:rFonts w:hint="eastAsia" w:ascii="仿宋_GB2312" w:hAnsi="sans-serif" w:eastAsia="仿宋_GB2312" w:cs="仿宋_GB2312"/>
          <w:color w:val="000000" w:themeColor="text1"/>
          <w:sz w:val="32"/>
          <w:szCs w:val="32"/>
          <w14:textFill>
            <w14:solidFill>
              <w14:schemeClr w14:val="tx1"/>
            </w14:solidFill>
          </w14:textFill>
        </w:rPr>
        <w:t>年12月31日。本报告在“枣庄市台儿庄区人民政府门户网站”（http://www.tez.gov.cn/）公布。对本报告如有疑问，可与台儿庄区商务和投资促进局办公室联系（地址：台儿庄区运河大道与华兴路交叉口向西180米路南；邮编：277400；电话：0632-6661666；电子邮箱：tezqswj@zz.shandong.cn）。</w:t>
      </w:r>
    </w:p>
    <w:p w14:paraId="02DF271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333333"/>
          <w:sz w:val="32"/>
          <w:szCs w:val="32"/>
        </w:rPr>
      </w:pPr>
      <w:r>
        <w:rPr>
          <w:rFonts w:hint="eastAsia" w:ascii="黑体" w:hAnsi="黑体" w:eastAsia="黑体" w:cs="黑体"/>
          <w:b w:val="0"/>
          <w:bCs/>
          <w:color w:val="333333"/>
          <w:sz w:val="32"/>
          <w:szCs w:val="32"/>
          <w:shd w:val="clear" w:color="auto" w:fill="FFFFFF"/>
        </w:rPr>
        <w:t>一、总体情况</w:t>
      </w:r>
    </w:p>
    <w:p w14:paraId="2749F80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textAlignment w:val="auto"/>
        <w:rPr>
          <w:rFonts w:hint="eastAsia" w:ascii="仿宋_GB2312" w:hAnsi="sans-serif" w:eastAsia="仿宋_GB2312" w:cs="仿宋_GB2312"/>
          <w:color w:val="auto"/>
          <w:sz w:val="32"/>
          <w:szCs w:val="32"/>
        </w:rPr>
      </w:pPr>
      <w:r>
        <w:rPr>
          <w:rFonts w:hint="eastAsia" w:ascii="仿宋_GB2312" w:hAnsi="sans-serif" w:eastAsia="仿宋_GB2312" w:cs="仿宋_GB2312"/>
          <w:color w:val="000000" w:themeColor="text1"/>
          <w:sz w:val="32"/>
          <w:szCs w:val="32"/>
          <w14:textFill>
            <w14:solidFill>
              <w14:schemeClr w14:val="tx1"/>
            </w14:solidFill>
          </w14:textFill>
        </w:rPr>
        <w:t>2025年，台儿庄区商务和投资促进局坚持以习近平新时代中国特色社会主义思想为指导，深入贯彻落实《中华人民共和国政府信息公开条例》及国家、省、市、区关于全面推进政务公开工作的系列决策部署，紧密围绕区委、区政府中心工作，立足商务与投资促进职能定位，以提升政务公开质量为主线，以优化营商环境、服务市场主体为导向，扎实推进政府信息公开各项工作。</w:t>
      </w:r>
    </w:p>
    <w:p w14:paraId="7A143F5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1.聚焦主动公开，推动阳光政务。</w:t>
      </w:r>
      <w:r>
        <w:rPr>
          <w:rFonts w:hint="eastAsia" w:ascii="仿宋_GB2312" w:hAnsi="sans-serif" w:eastAsia="仿宋_GB2312" w:cs="仿宋_GB2312"/>
          <w:color w:val="000000" w:themeColor="text1"/>
          <w:sz w:val="32"/>
          <w:szCs w:val="32"/>
          <w14:textFill>
            <w14:solidFill>
              <w14:schemeClr w14:val="tx1"/>
            </w14:solidFill>
          </w14:textFill>
        </w:rPr>
        <w:t>梳理各类应公开的政府信息按照分类予以公开，本年度主</w:t>
      </w:r>
      <w:r>
        <w:rPr>
          <w:rFonts w:hint="eastAsia" w:ascii="仿宋_GB2312" w:hAnsi="sans-serif" w:eastAsia="仿宋_GB2312" w:cs="仿宋_GB2312"/>
          <w:color w:val="auto"/>
          <w:sz w:val="32"/>
          <w:szCs w:val="32"/>
        </w:rPr>
        <w:t>动公开政府信息</w:t>
      </w:r>
      <w:r>
        <w:rPr>
          <w:rFonts w:hint="eastAsia" w:ascii="仿宋_GB2312" w:hAnsi="sans-serif" w:eastAsia="仿宋_GB2312" w:cs="仿宋_GB2312"/>
          <w:color w:val="auto"/>
          <w:sz w:val="32"/>
          <w:szCs w:val="32"/>
          <w:lang w:val="en-US" w:eastAsia="zh-CN"/>
        </w:rPr>
        <w:t>26</w:t>
      </w:r>
      <w:r>
        <w:rPr>
          <w:rFonts w:hint="eastAsia" w:ascii="仿宋_GB2312" w:hAnsi="sans-serif" w:eastAsia="仿宋_GB2312" w:cs="仿宋_GB2312"/>
          <w:color w:val="auto"/>
          <w:sz w:val="32"/>
          <w:szCs w:val="32"/>
        </w:rPr>
        <w:t>件，其中机构职能</w:t>
      </w:r>
      <w:r>
        <w:rPr>
          <w:rFonts w:hint="eastAsia" w:ascii="仿宋_GB2312" w:hAnsi="sans-serif" w:eastAsia="仿宋_GB2312" w:cs="仿宋_GB2312"/>
          <w:color w:val="auto"/>
          <w:sz w:val="32"/>
          <w:szCs w:val="32"/>
          <w:lang w:val="en-US" w:eastAsia="zh-CN"/>
        </w:rPr>
        <w:t>1</w:t>
      </w:r>
      <w:r>
        <w:rPr>
          <w:rFonts w:hint="eastAsia" w:ascii="仿宋_GB2312" w:hAnsi="sans-serif" w:eastAsia="仿宋_GB2312" w:cs="仿宋_GB2312"/>
          <w:color w:val="auto"/>
          <w:sz w:val="32"/>
          <w:szCs w:val="32"/>
        </w:rPr>
        <w:t>件，政策解读4件，规划计划1件，</w:t>
      </w:r>
      <w:r>
        <w:rPr>
          <w:rFonts w:hint="eastAsia" w:ascii="仿宋_GB2312" w:hAnsi="sans-serif" w:eastAsia="仿宋_GB2312" w:cs="仿宋_GB2312"/>
          <w:color w:val="auto"/>
          <w:sz w:val="32"/>
          <w:szCs w:val="32"/>
          <w:lang w:val="en-US" w:eastAsia="zh-CN"/>
        </w:rPr>
        <w:t>建议提案办理情况10件，</w:t>
      </w:r>
      <w:r>
        <w:rPr>
          <w:rFonts w:hint="eastAsia" w:ascii="仿宋_GB2312" w:hAnsi="sans-serif" w:eastAsia="仿宋_GB2312" w:cs="仿宋_GB2312"/>
          <w:color w:val="auto"/>
          <w:sz w:val="32"/>
          <w:szCs w:val="32"/>
        </w:rPr>
        <w:t>行政权力运行公开</w:t>
      </w:r>
      <w:r>
        <w:rPr>
          <w:rFonts w:hint="eastAsia" w:ascii="仿宋_GB2312" w:hAnsi="sans-serif" w:eastAsia="仿宋_GB2312" w:cs="仿宋_GB2312"/>
          <w:color w:val="auto"/>
          <w:sz w:val="32"/>
          <w:szCs w:val="32"/>
          <w:lang w:val="en-US" w:eastAsia="zh-CN"/>
        </w:rPr>
        <w:t>5</w:t>
      </w:r>
      <w:r>
        <w:rPr>
          <w:rFonts w:hint="eastAsia" w:ascii="仿宋_GB2312" w:hAnsi="sans-serif" w:eastAsia="仿宋_GB2312" w:cs="仿宋_GB2312"/>
          <w:color w:val="auto"/>
          <w:sz w:val="32"/>
          <w:szCs w:val="32"/>
        </w:rPr>
        <w:t>件，主</w:t>
      </w:r>
      <w:r>
        <w:rPr>
          <w:rFonts w:hint="eastAsia" w:ascii="仿宋_GB2312" w:hAnsi="sans-serif" w:eastAsia="仿宋_GB2312" w:cs="仿宋_GB2312"/>
          <w:color w:val="000000" w:themeColor="text1"/>
          <w:sz w:val="32"/>
          <w:szCs w:val="32"/>
          <w14:textFill>
            <w14:solidFill>
              <w14:schemeClr w14:val="tx1"/>
            </w14:solidFill>
          </w14:textFill>
        </w:rPr>
        <w:t>动公开基</w:t>
      </w:r>
      <w:bookmarkStart w:id="10" w:name="_GoBack"/>
      <w:bookmarkEnd w:id="10"/>
      <w:r>
        <w:rPr>
          <w:rFonts w:hint="eastAsia" w:ascii="仿宋_GB2312" w:hAnsi="sans-serif" w:eastAsia="仿宋_GB2312" w:cs="仿宋_GB2312"/>
          <w:color w:val="000000" w:themeColor="text1"/>
          <w:sz w:val="32"/>
          <w:szCs w:val="32"/>
          <w14:textFill>
            <w14:solidFill>
              <w14:schemeClr w14:val="tx1"/>
            </w14:solidFill>
          </w14:textFill>
        </w:rPr>
        <w:t>本目录1件，政务公开保障机制5件。</w:t>
      </w:r>
    </w:p>
    <w:p w14:paraId="5C0F275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关注</w:t>
      </w:r>
      <w:r>
        <w:rPr>
          <w:rFonts w:hint="eastAsia" w:ascii="楷体_GB2312" w:hAnsi="楷体_GB2312" w:eastAsia="楷体_GB2312" w:cs="楷体_GB2312"/>
          <w:color w:val="000000" w:themeColor="text1"/>
          <w:sz w:val="32"/>
          <w:szCs w:val="32"/>
          <w14:textFill>
            <w14:solidFill>
              <w14:schemeClr w14:val="tx1"/>
            </w14:solidFill>
          </w14:textFill>
        </w:rPr>
        <w:t>依申请公开，保障公众知情。</w:t>
      </w:r>
      <w:r>
        <w:rPr>
          <w:rFonts w:hint="eastAsia" w:ascii="仿宋_GB2312" w:hAnsi="sans-serif" w:eastAsia="仿宋_GB2312" w:cs="仿宋_GB2312"/>
          <w:color w:val="000000" w:themeColor="text1"/>
          <w:sz w:val="32"/>
          <w:szCs w:val="32"/>
          <w14:textFill>
            <w14:solidFill>
              <w14:schemeClr w14:val="tx1"/>
            </w14:solidFill>
          </w14:textFill>
        </w:rPr>
        <w:t>密切关注申请情况，严格落实依申请公开办理制度，本年度我局收到依申请公开政府信息</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0</w:t>
      </w:r>
      <w:r>
        <w:rPr>
          <w:rFonts w:hint="eastAsia" w:ascii="仿宋_GB2312" w:hAnsi="sans-serif" w:eastAsia="仿宋_GB2312" w:cs="仿宋_GB2312"/>
          <w:color w:val="000000" w:themeColor="text1"/>
          <w:sz w:val="32"/>
          <w:szCs w:val="32"/>
          <w14:textFill>
            <w14:solidFill>
              <w14:schemeClr w14:val="tx1"/>
            </w14:solidFill>
          </w14:textFill>
        </w:rPr>
        <w:t>件</w:t>
      </w:r>
      <w:r>
        <w:rPr>
          <w:rFonts w:hint="eastAsia" w:ascii="仿宋_GB2312" w:hAnsi="sans-serif" w:eastAsia="仿宋_GB2312" w:cs="仿宋_GB2312"/>
          <w:color w:val="000000" w:themeColor="text1"/>
          <w:sz w:val="32"/>
          <w:szCs w:val="32"/>
          <w:lang w:eastAsia="zh-CN"/>
          <w14:textFill>
            <w14:solidFill>
              <w14:schemeClr w14:val="tx1"/>
            </w14:solidFill>
          </w14:textFill>
        </w:rPr>
        <w:t>。</w:t>
      </w:r>
    </w:p>
    <w:p w14:paraId="40AAC50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textAlignment w:val="auto"/>
        <w:rPr>
          <w:rFonts w:hint="eastAsia" w:ascii="仿宋_GB2312" w:hAnsi="sans-serif"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3.规范信息管理，提升治理效能。</w:t>
      </w:r>
      <w:r>
        <w:rPr>
          <w:rFonts w:hint="eastAsia" w:ascii="仿宋_GB2312" w:hAnsi="sans-serif" w:eastAsia="仿宋_GB2312" w:cs="仿宋_GB2312"/>
          <w:color w:val="000000" w:themeColor="text1"/>
          <w:sz w:val="32"/>
          <w:szCs w:val="32"/>
          <w14:textFill>
            <w14:solidFill>
              <w14:schemeClr w14:val="tx1"/>
            </w14:solidFill>
          </w14:textFill>
        </w:rPr>
        <w:t>严格落实保密审查制度，信息发布前由经办</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人</w:t>
      </w:r>
      <w:r>
        <w:rPr>
          <w:rFonts w:hint="eastAsia" w:ascii="仿宋_GB2312" w:hAnsi="sans-serif" w:eastAsia="仿宋_GB2312" w:cs="仿宋_GB2312"/>
          <w:color w:val="000000" w:themeColor="text1"/>
          <w:sz w:val="32"/>
          <w:szCs w:val="32"/>
          <w14:textFill>
            <w14:solidFill>
              <w14:schemeClr w14:val="tx1"/>
            </w14:solidFill>
          </w14:textFill>
        </w:rPr>
        <w:t>及分管领导签审《信息发布保密审查表》，确保所公开信息符合保密规定。</w:t>
      </w:r>
    </w:p>
    <w:p w14:paraId="6C3439F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textAlignment w:val="auto"/>
        <w:rPr>
          <w:rFonts w:hint="eastAsia" w:ascii="仿宋_GB2312" w:hAnsi="sans-serif"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4.深化平台建设，拓展服务载体。</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加强</w:t>
      </w:r>
      <w:r>
        <w:rPr>
          <w:rFonts w:hint="eastAsia" w:ascii="仿宋_GB2312" w:hAnsi="sans-serif" w:eastAsia="仿宋_GB2312" w:cs="仿宋_GB2312"/>
          <w:color w:val="000000" w:themeColor="text1"/>
          <w:sz w:val="32"/>
          <w:szCs w:val="32"/>
          <w14:textFill>
            <w14:solidFill>
              <w14:schemeClr w14:val="tx1"/>
            </w14:solidFill>
          </w14:textFill>
        </w:rPr>
        <w:t>网站集约化建设</w:t>
      </w:r>
      <w:r>
        <w:rPr>
          <w:rFonts w:hint="eastAsia" w:ascii="仿宋_GB2312" w:hAnsi="sans-serif" w:eastAsia="仿宋_GB2312" w:cs="仿宋_GB2312"/>
          <w:color w:val="000000" w:themeColor="text1"/>
          <w:sz w:val="32"/>
          <w:szCs w:val="32"/>
          <w:lang w:eastAsia="zh-CN"/>
          <w14:textFill>
            <w14:solidFill>
              <w14:schemeClr w14:val="tx1"/>
            </w14:solidFill>
          </w14:textFill>
        </w:rPr>
        <w:t>，</w:t>
      </w:r>
      <w:r>
        <w:rPr>
          <w:rFonts w:hint="eastAsia" w:ascii="仿宋_GB2312" w:hAnsi="sans-serif" w:eastAsia="仿宋_GB2312" w:cs="仿宋_GB2312"/>
          <w:color w:val="000000" w:themeColor="text1"/>
          <w:sz w:val="32"/>
          <w:szCs w:val="32"/>
          <w14:textFill>
            <w14:solidFill>
              <w14:schemeClr w14:val="tx1"/>
            </w14:solidFill>
          </w14:textFill>
        </w:rPr>
        <w:t>将台儿庄区政府网站作为重要阵地，继续推动“互联网＋政务服务”，深化“放管服”信息公开；作为信息公开工作的延伸和扩展，及时做好微信公众号政务新媒体的信息发布工作，围绕部门工作职责和意识形态工作要求，建设模块化信息专栏，链接部门政策信息端口，打通政务服务网入口，配合行政服务中心做好线上线下融合工作。</w:t>
      </w:r>
    </w:p>
    <w:p w14:paraId="27529F4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textAlignment w:val="auto"/>
        <w:rPr>
          <w:rFonts w:hint="eastAsia" w:ascii="仿宋_GB2312" w:hAnsi="sans-serif"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5.强化监督保障，健全长效机制。</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持续</w:t>
      </w:r>
      <w:r>
        <w:rPr>
          <w:rFonts w:hint="eastAsia" w:ascii="仿宋_GB2312" w:hAnsi="sans-serif" w:eastAsia="仿宋_GB2312" w:cs="仿宋_GB2312"/>
          <w:color w:val="000000" w:themeColor="text1"/>
          <w:sz w:val="32"/>
          <w:szCs w:val="32"/>
          <w14:textFill>
            <w14:solidFill>
              <w14:schemeClr w14:val="tx1"/>
            </w14:solidFill>
          </w14:textFill>
        </w:rPr>
        <w:t>完善政府信息公开工作机制和信息发布审核流程，明确责任工作室，强化监督检查，更新我局信息公开指南，发布政府信息公开工作年度报告，切实保障人民群众知情权、参与权和监督权，做到公开透明。</w:t>
      </w:r>
    </w:p>
    <w:p w14:paraId="04532B1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hint="eastAsia" w:ascii="黑体" w:hAnsi="黑体" w:eastAsia="黑体" w:cs="黑体"/>
          <w:bCs/>
          <w:color w:val="333333"/>
          <w:sz w:val="32"/>
          <w:szCs w:val="32"/>
          <w:shd w:val="clear" w:color="auto" w:fill="FFFFFF"/>
        </w:rPr>
      </w:pP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ascii="仿宋_GB2312" w:hAnsi="宋体" w:eastAsia="仿宋_GB2312" w:cs="宋体"/>
                <w:color w:val="FF0000"/>
                <w:kern w:val="0"/>
                <w:szCs w:val="21"/>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ascii="仿宋_GB2312" w:hAnsi="宋体" w:eastAsia="仿宋_GB2312" w:cs="宋体"/>
                <w:color w:val="FF0000"/>
                <w:kern w:val="0"/>
                <w:szCs w:val="21"/>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ascii="仿宋_GB2312" w:hAnsi="Calibri" w:eastAsia="仿宋_GB2312" w:cs="Calibri"/>
                <w:color w:val="FF0000"/>
                <w:kern w:val="0"/>
                <w:szCs w:val="21"/>
              </w:rPr>
            </w:pPr>
            <w:r>
              <w:rPr>
                <w:rFonts w:hint="eastAsia" w:ascii="仿宋_GB2312" w:hAnsi="宋体" w:eastAsia="仿宋_GB2312" w:cs="宋体"/>
                <w:color w:val="000000" w:themeColor="text1"/>
                <w:kern w:val="0"/>
                <w:szCs w:val="21"/>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ascii="仿宋_GB2312" w:hAnsi="宋体" w:eastAsia="仿宋_GB2312" w:cs="宋体"/>
                <w:color w:val="FF0000"/>
                <w:kern w:val="0"/>
                <w:szCs w:val="21"/>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ascii="仿宋_GB2312" w:hAnsi="宋体" w:eastAsia="仿宋_GB2312" w:cs="宋体"/>
                <w:color w:val="FF0000"/>
                <w:kern w:val="0"/>
                <w:szCs w:val="21"/>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ascii="仿宋_GB2312" w:hAnsi="宋体" w:eastAsia="仿宋_GB2312" w:cs="宋体"/>
                <w:color w:val="FF0000"/>
                <w:kern w:val="0"/>
                <w:szCs w:val="21"/>
              </w:rPr>
            </w:pPr>
            <w:r>
              <w:rPr>
                <w:rFonts w:hint="eastAsia" w:ascii="仿宋_GB2312" w:hAnsi="宋体" w:eastAsia="仿宋_GB2312" w:cs="宋体"/>
                <w:color w:val="000000" w:themeColor="text1"/>
                <w:kern w:val="0"/>
                <w:szCs w:val="21"/>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themeColor="text1"/>
                <w:kern w:val="0"/>
                <w:szCs w:val="21"/>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ascii="仿宋_GB2312" w:hAnsi="Calibri" w:eastAsia="仿宋_GB2312" w:cs="Calibri"/>
                <w:color w:val="FF0000"/>
                <w:kern w:val="0"/>
                <w:szCs w:val="21"/>
              </w:rPr>
            </w:pPr>
            <w:r>
              <w:rPr>
                <w:rFonts w:hint="eastAsia" w:ascii="仿宋_GB2312" w:hAnsi="Calibri" w:eastAsia="仿宋_GB2312" w:cs="Calibri"/>
                <w:color w:val="000000" w:themeColor="text1"/>
                <w:kern w:val="0"/>
                <w:szCs w:val="21"/>
                <w14:textFill>
                  <w14:solidFill>
                    <w14:schemeClr w14:val="tx1"/>
                  </w14:solidFill>
                </w14:textFill>
              </w:rPr>
              <w:t>0</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ascii="仿宋_GB2312" w:hAnsi="Calibri" w:eastAsia="仿宋_GB2312" w:cs="Calibri"/>
                <w:color w:val="FF0000"/>
                <w:kern w:val="0"/>
                <w:szCs w:val="21"/>
              </w:rPr>
            </w:pPr>
            <w:r>
              <w:rPr>
                <w:rFonts w:hint="eastAsia" w:ascii="仿宋_GB2312" w:hAnsi="Calibri" w:eastAsia="仿宋_GB2312" w:cs="Calibri"/>
                <w:color w:val="000000" w:themeColor="text1"/>
                <w:kern w:val="0"/>
                <w:szCs w:val="21"/>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themeColor="text1"/>
                <w:kern w:val="0"/>
                <w:szCs w:val="21"/>
                <w14:textFill>
                  <w14:solidFill>
                    <w14:schemeClr w14:val="tx1"/>
                  </w14:solidFill>
                </w14:textFill>
              </w:rPr>
              <w:t>0</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2FC440C">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EB7936A">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175B54E">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637B979B">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633A8B3F">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60F45D4">
            <w:pPr>
              <w:widowControl/>
              <w:spacing w:line="240" w:lineRule="exact"/>
              <w:jc w:val="center"/>
              <w:rPr>
                <w:rFonts w:ascii="仿宋_GB2312" w:eastAsia="仿宋_GB2312"/>
                <w:color w:val="FF0000"/>
                <w:szCs w:val="21"/>
              </w:rPr>
            </w:pPr>
            <w:r>
              <w:rPr>
                <w:rFonts w:hint="eastAsia" w:ascii="仿宋_GB2312" w:eastAsia="仿宋_GB2312"/>
                <w:szCs w:val="21"/>
              </w:rPr>
              <w:t>0</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CCDF5A2">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A724B65">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43C30481">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6D6EC306">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32984CF2">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4128EFA">
            <w:pPr>
              <w:widowControl/>
              <w:spacing w:line="240" w:lineRule="exact"/>
              <w:jc w:val="center"/>
              <w:rPr>
                <w:rFonts w:ascii="仿宋_GB2312" w:eastAsia="仿宋_GB2312"/>
                <w:color w:val="FF0000"/>
                <w:szCs w:val="21"/>
              </w:rPr>
            </w:pPr>
            <w:r>
              <w:rPr>
                <w:rFonts w:hint="eastAsia" w:ascii="仿宋_GB2312" w:eastAsia="仿宋_GB2312"/>
                <w:szCs w:val="21"/>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szCs w:val="21"/>
              </w:rPr>
            </w:pPr>
            <w:r>
              <w:rPr>
                <w:rFonts w:hint="eastAsia" w:ascii="仿宋_GB2312" w:eastAsia="仿宋_GB2312"/>
                <w:szCs w:val="21"/>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szCs w:val="21"/>
              </w:rPr>
            </w:pPr>
            <w:r>
              <w:rPr>
                <w:rFonts w:hint="eastAsia" w:ascii="仿宋_GB2312" w:eastAsia="仿宋_GB2312"/>
                <w:szCs w:val="21"/>
              </w:rPr>
              <w:t>0</w:t>
            </w:r>
          </w:p>
        </w:tc>
        <w:tc>
          <w:tcPr>
            <w:tcW w:w="700" w:type="dxa"/>
            <w:shd w:val="clear" w:color="auto" w:fill="auto"/>
            <w:tcMar>
              <w:left w:w="108" w:type="dxa"/>
              <w:right w:w="108" w:type="dxa"/>
            </w:tcMar>
            <w:vAlign w:val="center"/>
          </w:tcPr>
          <w:p w14:paraId="3A066E8C">
            <w:pPr>
              <w:widowControl/>
              <w:spacing w:line="240" w:lineRule="exact"/>
              <w:jc w:val="center"/>
              <w:rPr>
                <w:rFonts w:ascii="仿宋_GB2312" w:eastAsia="仿宋_GB2312"/>
                <w:color w:val="FF0000"/>
                <w:szCs w:val="21"/>
              </w:rPr>
            </w:pPr>
            <w:r>
              <w:rPr>
                <w:rFonts w:hint="eastAsia" w:ascii="仿宋_GB2312" w:eastAsia="仿宋_GB2312"/>
                <w:szCs w:val="21"/>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szCs w:val="21"/>
              </w:rPr>
            </w:pPr>
            <w:r>
              <w:rPr>
                <w:rFonts w:hint="eastAsia" w:ascii="仿宋_GB2312" w:eastAsia="仿宋_GB2312"/>
                <w:szCs w:val="21"/>
              </w:rPr>
              <w:t>0</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szCs w:val="21"/>
              </w:rPr>
            </w:pPr>
            <w:r>
              <w:rPr>
                <w:rFonts w:hint="eastAsia" w:ascii="仿宋_GB2312" w:eastAsia="仿宋_GB2312"/>
                <w:szCs w:val="21"/>
              </w:rPr>
              <w:t>0</w:t>
            </w:r>
          </w:p>
        </w:tc>
        <w:tc>
          <w:tcPr>
            <w:tcW w:w="700" w:type="dxa"/>
            <w:shd w:val="clear" w:color="auto" w:fill="auto"/>
            <w:tcMar>
              <w:left w:w="108" w:type="dxa"/>
              <w:right w:w="108" w:type="dxa"/>
            </w:tcMar>
            <w:vAlign w:val="center"/>
          </w:tcPr>
          <w:p w14:paraId="2CA4B017">
            <w:pPr>
              <w:widowControl/>
              <w:spacing w:line="240" w:lineRule="exact"/>
              <w:jc w:val="center"/>
              <w:rPr>
                <w:rFonts w:ascii="仿宋_GB2312" w:eastAsia="仿宋_GB2312"/>
                <w:color w:val="FF0000"/>
                <w:szCs w:val="21"/>
              </w:rPr>
            </w:pPr>
            <w:r>
              <w:rPr>
                <w:rFonts w:hint="eastAsia" w:ascii="仿宋_GB2312" w:eastAsia="仿宋_GB2312"/>
                <w:szCs w:val="21"/>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szCs w:val="21"/>
              </w:rPr>
            </w:pPr>
          </w:p>
        </w:tc>
        <w:tc>
          <w:tcPr>
            <w:tcW w:w="1701"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szCs w:val="21"/>
              </w:rPr>
            </w:pPr>
            <w:r>
              <w:rPr>
                <w:rFonts w:hint="eastAsia" w:ascii="仿宋_GB2312" w:eastAsia="仿宋_GB2312"/>
                <w:szCs w:val="21"/>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szCs w:val="21"/>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szCs w:val="21"/>
              </w:rPr>
            </w:pPr>
            <w:r>
              <w:rPr>
                <w:rFonts w:hint="eastAsia" w:ascii="仿宋_GB2312" w:eastAsia="仿宋_GB2312"/>
                <w:szCs w:val="21"/>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szCs w:val="21"/>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szCs w:val="21"/>
              </w:rPr>
            </w:pPr>
            <w:r>
              <w:rPr>
                <w:rFonts w:hint="eastAsia" w:ascii="仿宋_GB2312" w:eastAsia="仿宋_GB2312"/>
                <w:szCs w:val="21"/>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szCs w:val="21"/>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szCs w:val="21"/>
              </w:rPr>
            </w:pPr>
            <w:r>
              <w:rPr>
                <w:rFonts w:hint="eastAsia" w:ascii="仿宋_GB2312" w:eastAsia="仿宋_GB2312"/>
                <w:szCs w:val="21"/>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szCs w:val="21"/>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39FC0AD1">
            <w:pPr>
              <w:widowControl/>
              <w:spacing w:line="240" w:lineRule="exact"/>
              <w:jc w:val="center"/>
              <w:rPr>
                <w:rFonts w:ascii="仿宋_GB2312" w:eastAsia="仿宋_GB2312"/>
                <w:szCs w:val="21"/>
              </w:rPr>
            </w:pPr>
            <w:r>
              <w:rPr>
                <w:rFonts w:hint="eastAsia" w:ascii="仿宋_GB2312" w:eastAsia="仿宋_GB2312"/>
                <w:szCs w:val="21"/>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szCs w:val="21"/>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szCs w:val="21"/>
              </w:rPr>
            </w:pPr>
            <w:r>
              <w:rPr>
                <w:rFonts w:hint="eastAsia" w:ascii="仿宋_GB2312" w:eastAsia="仿宋_GB2312"/>
                <w:szCs w:val="21"/>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szCs w:val="21"/>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szCs w:val="21"/>
              </w:rPr>
            </w:pPr>
            <w:r>
              <w:rPr>
                <w:rFonts w:hint="eastAsia" w:ascii="仿宋_GB2312" w:eastAsia="仿宋_GB2312"/>
                <w:szCs w:val="21"/>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szCs w:val="21"/>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szCs w:val="21"/>
              </w:rPr>
            </w:pPr>
            <w:r>
              <w:rPr>
                <w:rFonts w:hint="eastAsia" w:ascii="仿宋_GB2312" w:eastAsia="仿宋_GB2312"/>
                <w:szCs w:val="21"/>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szCs w:val="21"/>
              </w:rPr>
            </w:pPr>
          </w:p>
        </w:tc>
        <w:tc>
          <w:tcPr>
            <w:tcW w:w="1701"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szCs w:val="21"/>
              </w:rPr>
            </w:pPr>
            <w:r>
              <w:rPr>
                <w:rFonts w:hint="eastAsia" w:ascii="仿宋_GB2312" w:eastAsia="仿宋_GB2312"/>
                <w:szCs w:val="21"/>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szCs w:val="21"/>
              </w:rPr>
            </w:pPr>
          </w:p>
        </w:tc>
        <w:tc>
          <w:tcPr>
            <w:tcW w:w="1701"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szCs w:val="21"/>
              </w:rPr>
            </w:pPr>
            <w:r>
              <w:rPr>
                <w:rFonts w:hint="eastAsia" w:ascii="仿宋_GB2312" w:eastAsia="仿宋_GB2312"/>
                <w:szCs w:val="21"/>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szCs w:val="21"/>
              </w:rPr>
            </w:pPr>
          </w:p>
        </w:tc>
        <w:tc>
          <w:tcPr>
            <w:tcW w:w="1701"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szCs w:val="21"/>
              </w:rPr>
            </w:pPr>
            <w:r>
              <w:rPr>
                <w:rFonts w:hint="eastAsia" w:ascii="仿宋_GB2312" w:eastAsia="仿宋_GB2312"/>
                <w:szCs w:val="21"/>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szCs w:val="21"/>
              </w:rPr>
            </w:pPr>
          </w:p>
        </w:tc>
        <w:tc>
          <w:tcPr>
            <w:tcW w:w="1701"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szCs w:val="21"/>
              </w:rPr>
            </w:pPr>
            <w:r>
              <w:rPr>
                <w:rFonts w:hint="eastAsia" w:ascii="仿宋_GB2312" w:eastAsia="仿宋_GB2312"/>
                <w:szCs w:val="21"/>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szCs w:val="21"/>
              </w:rPr>
            </w:pPr>
            <w:r>
              <w:rPr>
                <w:rFonts w:hint="eastAsia" w:ascii="仿宋_GB2312" w:eastAsia="仿宋_GB2312"/>
                <w:szCs w:val="21"/>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szCs w:val="21"/>
              </w:rPr>
            </w:pPr>
            <w:r>
              <w:rPr>
                <w:rFonts w:hint="eastAsia" w:ascii="仿宋_GB2312" w:eastAsia="仿宋_GB2312"/>
                <w:szCs w:val="21"/>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szCs w:val="21"/>
              </w:rPr>
            </w:pPr>
            <w:r>
              <w:rPr>
                <w:rFonts w:hint="eastAsia" w:ascii="仿宋_GB2312" w:eastAsia="仿宋_GB2312"/>
                <w:szCs w:val="21"/>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199"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szCs w:val="21"/>
              </w:rPr>
            </w:pPr>
            <w:r>
              <w:rPr>
                <w:rFonts w:hint="eastAsia" w:ascii="仿宋_GB2312" w:eastAsia="仿宋_GB2312"/>
                <w:szCs w:val="21"/>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szCs w:val="21"/>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szCs w:val="21"/>
              </w:rPr>
            </w:pPr>
            <w:r>
              <w:rPr>
                <w:rFonts w:hint="eastAsia" w:ascii="仿宋_GB2312" w:eastAsia="仿宋_GB2312"/>
                <w:szCs w:val="21"/>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6"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8CEEE85">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F6DB810">
            <w:pPr>
              <w:widowControl/>
              <w:spacing w:line="240" w:lineRule="exact"/>
              <w:jc w:val="center"/>
              <w:rPr>
                <w:rFonts w:ascii="仿宋_GB2312" w:eastAsia="仿宋_GB2312"/>
                <w:color w:val="FF0000"/>
                <w:szCs w:val="21"/>
              </w:rPr>
            </w:pPr>
            <w:r>
              <w:rPr>
                <w:rFonts w:hint="eastAsia" w:ascii="仿宋_GB2312" w:eastAsia="仿宋_GB2312"/>
                <w:szCs w:val="21"/>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6"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14:paraId="269D0033">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9881E26">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18F13CD">
            <w:pPr>
              <w:widowControl/>
              <w:spacing w:line="240" w:lineRule="exact"/>
              <w:jc w:val="center"/>
              <w:rPr>
                <w:rFonts w:ascii="仿宋_GB2312" w:eastAsia="仿宋_GB2312"/>
                <w:color w:val="FF0000"/>
                <w:szCs w:val="21"/>
              </w:rPr>
            </w:pPr>
            <w:r>
              <w:rPr>
                <w:rFonts w:hint="eastAsia" w:ascii="仿宋_GB2312" w:eastAsia="仿宋_GB2312"/>
                <w:szCs w:val="21"/>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6E1C8EF">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2992A8F">
            <w:pPr>
              <w:widowControl/>
              <w:spacing w:line="240" w:lineRule="exact"/>
              <w:jc w:val="center"/>
              <w:rPr>
                <w:rFonts w:ascii="仿宋_GB2312" w:eastAsia="仿宋_GB2312"/>
                <w:color w:val="FF0000"/>
                <w:szCs w:val="21"/>
              </w:rPr>
            </w:pPr>
            <w:r>
              <w:rPr>
                <w:rFonts w:hint="eastAsia" w:ascii="仿宋_GB2312" w:eastAsia="仿宋_GB2312"/>
                <w:szCs w:val="21"/>
              </w:rPr>
              <w:t>0</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A0B69AF">
            <w:pPr>
              <w:widowControl/>
              <w:spacing w:line="240" w:lineRule="exact"/>
              <w:jc w:val="center"/>
              <w:rPr>
                <w:rFonts w:ascii="仿宋_GB2312" w:eastAsia="仿宋_GB2312"/>
                <w:color w:val="FF0000"/>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77CABFE">
            <w:pPr>
              <w:widowControl/>
              <w:spacing w:line="240" w:lineRule="exact"/>
              <w:jc w:val="center"/>
              <w:rPr>
                <w:rFonts w:ascii="仿宋_GB2312" w:eastAsia="仿宋_GB2312"/>
                <w:color w:val="FF0000"/>
                <w:szCs w:val="21"/>
              </w:rPr>
            </w:pPr>
            <w:r>
              <w:rPr>
                <w:rFonts w:hint="eastAsia" w:ascii="仿宋_GB2312" w:eastAsia="仿宋_GB2312"/>
                <w:szCs w:val="21"/>
              </w:rPr>
              <w:t>0</w:t>
            </w:r>
          </w:p>
        </w:tc>
      </w:tr>
    </w:tbl>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pPr>
            <w:r>
              <w:rPr>
                <w:rFonts w:hint="eastAsia"/>
                <w:color w:val="000000" w:themeColor="text1"/>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pPr>
            <w:r>
              <w:rPr>
                <w:rFonts w:hint="eastAsia"/>
                <w:color w:val="000000" w:themeColor="text1"/>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pPr>
            <w:r>
              <w:rPr>
                <w:rFonts w:hint="eastAsia"/>
                <w:color w:val="000000" w:themeColor="text1"/>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pPr>
            <w:r>
              <w:rPr>
                <w:rFonts w:hint="eastAsia"/>
                <w:color w:val="000000" w:themeColor="text1"/>
                <w14:textFill>
                  <w14:solidFill>
                    <w14:schemeClr w14:val="tx1"/>
                  </w14:solidFill>
                </w14:textFill>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pPr>
            <w:r>
              <w:rPr>
                <w:rFonts w:hint="eastAsia"/>
                <w:color w:val="000000" w:themeColor="text1"/>
                <w14:textFill>
                  <w14:solidFill>
                    <w14:schemeClr w14:val="tx1"/>
                  </w14:solidFill>
                </w14:textFill>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pPr>
            <w:r>
              <w:rPr>
                <w:rFonts w:hint="eastAsia"/>
                <w:color w:val="000000" w:themeColor="text1"/>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pPr>
            <w:r>
              <w:rPr>
                <w:rFonts w:hint="eastAsia"/>
                <w:color w:val="000000" w:themeColor="text1"/>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pPr>
            <w:r>
              <w:rPr>
                <w:rFonts w:hint="eastAsia"/>
                <w:color w:val="000000" w:themeColor="text1"/>
                <w14:textFill>
                  <w14:solidFill>
                    <w14:schemeClr w14:val="tx1"/>
                  </w14:solidFill>
                </w14:textFill>
              </w:rPr>
              <w:t>0</w:t>
            </w:r>
          </w:p>
        </w:tc>
      </w:tr>
    </w:tbl>
    <w:p w14:paraId="0D641DF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18" w:firstLineChars="200"/>
        <w:textAlignment w:val="auto"/>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五、存在的主要问题及改进情况</w:t>
      </w:r>
    </w:p>
    <w:p w14:paraId="2B0942F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18"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（一）202</w:t>
      </w:r>
      <w:r>
        <w:rPr>
          <w:rFonts w:hint="eastAsia" w:ascii="楷体_GB2312" w:hAnsi="sans-serif" w:eastAsia="楷体_GB2312" w:cs="仿宋_GB2312"/>
          <w:color w:val="000000" w:themeColor="text1"/>
          <w:sz w:val="32"/>
          <w:szCs w:val="32"/>
          <w:lang w:val="en-US" w:eastAsia="zh-CN"/>
          <w14:textFill>
            <w14:solidFill>
              <w14:schemeClr w14:val="tx1"/>
            </w14:solidFill>
          </w14:textFill>
        </w:rPr>
        <w:t>4</w:t>
      </w:r>
      <w:r>
        <w:rPr>
          <w:rFonts w:hint="eastAsia" w:ascii="楷体_GB2312" w:hAnsi="sans-serif" w:eastAsia="楷体_GB2312" w:cs="仿宋_GB2312"/>
          <w:color w:val="000000" w:themeColor="text1"/>
          <w:sz w:val="32"/>
          <w:szCs w:val="32"/>
          <w14:textFill>
            <w14:solidFill>
              <w14:schemeClr w14:val="tx1"/>
            </w14:solidFill>
          </w14:textFill>
        </w:rPr>
        <w:t>年问题整改情况</w:t>
      </w:r>
      <w:r>
        <w:rPr>
          <w:rFonts w:hint="eastAsia" w:ascii="楷体_GB2312" w:hAnsi="sans-serif" w:eastAsia="楷体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提升政务新媒体的关注度和覆盖面，坚持以内容建设为核心，紧密结合本地区、本单位在决策、执行、管理、服务和结果公开等方面的实际工作，及时通过政务新媒体发布权威信息，并持续优化内容质量，努力让群众所需信息更加便捷可及。依托政府门户网站和各类政务新媒体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全年</w:t>
      </w:r>
      <w:r>
        <w:rPr>
          <w:rFonts w:hint="eastAsia" w:ascii="仿宋_GB2312" w:hAnsi="仿宋_GB2312" w:eastAsia="仿宋_GB2312" w:cs="仿宋_GB2312"/>
          <w:color w:val="000000" w:themeColor="text1"/>
          <w:sz w:val="32"/>
          <w:szCs w:val="32"/>
          <w:lang w:eastAsia="zh-CN"/>
          <w14:textFill>
            <w14:solidFill>
              <w14:schemeClr w14:val="tx1"/>
            </w14:solidFill>
          </w14:textFill>
        </w:rPr>
        <w:t>动态更新政策文件与部门工作动态100余篇，其中包括习近平总书记重要讲话以及党中央、国务院和省、市、区重要决策部署等权威信息30余篇。</w:t>
      </w:r>
      <w:r>
        <w:rPr>
          <w:rFonts w:hint="eastAsia" w:ascii="仿宋_GB2312" w:hAnsi="sans-serif" w:eastAsia="仿宋_GB2312" w:cs="仿宋_GB2312"/>
          <w:b/>
          <w:bCs/>
          <w:color w:val="000000" w:themeColor="text1"/>
          <w:sz w:val="32"/>
          <w:szCs w:val="32"/>
          <w14:textFill>
            <w14:solidFill>
              <w14:schemeClr w14:val="tx1"/>
            </w14:solidFill>
          </w14:textFill>
        </w:rPr>
        <w:t>二是</w:t>
      </w:r>
      <w:r>
        <w:rPr>
          <w:rFonts w:hint="eastAsia" w:ascii="仿宋_GB2312" w:hAnsi="sans-serif" w:eastAsia="仿宋_GB2312" w:cs="仿宋_GB2312"/>
          <w:color w:val="000000" w:themeColor="text1"/>
          <w:sz w:val="32"/>
          <w:szCs w:val="32"/>
          <w14:textFill>
            <w14:solidFill>
              <w14:schemeClr w14:val="tx1"/>
            </w14:solidFill>
          </w14:textFill>
        </w:rPr>
        <w:t>不断加强信息公开工作人员队伍的专业能力建设，落实专人负责政务公开工作，畅通政务新媒体互动交流渠道，及时捕捉并回应社会关注的热点问题。充分发挥政务新媒体在移动端的普及优势，全面回应公众关切，切实做到“民有所呼、我有所应”，持续推动政务新媒体的公开质量与服务效能实现新提升。</w:t>
      </w:r>
    </w:p>
    <w:p w14:paraId="63D706E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仿宋_GB2312"/>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（二）202</w:t>
      </w:r>
      <w:r>
        <w:rPr>
          <w:rFonts w:hint="eastAsia" w:ascii="楷体_GB2312" w:hAnsi="sans-serif" w:eastAsia="楷体_GB2312" w:cs="仿宋_GB2312"/>
          <w:color w:val="000000" w:themeColor="text1"/>
          <w:sz w:val="32"/>
          <w:szCs w:val="32"/>
          <w:lang w:val="en-US" w:eastAsia="zh-CN"/>
          <w14:textFill>
            <w14:solidFill>
              <w14:schemeClr w14:val="tx1"/>
            </w14:solidFill>
          </w14:textFill>
        </w:rPr>
        <w:t>5</w:t>
      </w:r>
      <w:r>
        <w:rPr>
          <w:rFonts w:hint="eastAsia" w:ascii="楷体_GB2312" w:hAnsi="sans-serif" w:eastAsia="楷体_GB2312" w:cs="仿宋_GB2312"/>
          <w:color w:val="000000" w:themeColor="text1"/>
          <w:sz w:val="32"/>
          <w:szCs w:val="32"/>
          <w14:textFill>
            <w14:solidFill>
              <w14:schemeClr w14:val="tx1"/>
            </w14:solidFill>
          </w14:textFill>
        </w:rPr>
        <w:t>年存在的主要问题</w:t>
      </w:r>
      <w:r>
        <w:rPr>
          <w:rFonts w:hint="eastAsia" w:ascii="楷体_GB2312" w:hAnsi="sans-serif" w:eastAsia="楷体_GB2312" w:cs="仿宋_GB2312"/>
          <w:color w:val="000000" w:themeColor="text1"/>
          <w:sz w:val="32"/>
          <w:szCs w:val="32"/>
          <w:lang w:eastAsia="zh-CN"/>
          <w14:textFill>
            <w14:solidFill>
              <w14:schemeClr w14:val="tx1"/>
            </w14:solidFill>
          </w14:textFill>
        </w:rPr>
        <w:t>。</w:t>
      </w:r>
      <w:r>
        <w:rPr>
          <w:rFonts w:hint="eastAsia" w:ascii="仿宋_GB2312" w:hAnsi="sans-serif" w:eastAsia="仿宋_GB2312" w:cs="仿宋_GB2312"/>
          <w:b/>
          <w:bCs/>
          <w:color w:val="000000" w:themeColor="text1"/>
          <w:sz w:val="32"/>
          <w:szCs w:val="32"/>
          <w14:textFill>
            <w14:solidFill>
              <w14:schemeClr w14:val="tx1"/>
            </w14:solidFill>
          </w14:textFill>
        </w:rPr>
        <w:t>一是</w:t>
      </w:r>
      <w:r>
        <w:rPr>
          <w:rFonts w:hint="eastAsia" w:ascii="仿宋_GB2312" w:hAnsi="sans-serif" w:eastAsia="仿宋_GB2312" w:cs="仿宋_GB2312"/>
          <w:color w:val="000000" w:themeColor="text1"/>
          <w:sz w:val="32"/>
          <w:szCs w:val="32"/>
          <w14:textFill>
            <w14:solidFill>
              <w14:schemeClr w14:val="tx1"/>
            </w14:solidFill>
          </w14:textFill>
        </w:rPr>
        <w:t>信息发布存在延迟，时效性有待加强。部分政务公开栏内容更新不及时，一些按规定应公开的文件未能严格按照时限要求对外发布。</w:t>
      </w:r>
      <w:r>
        <w:rPr>
          <w:rFonts w:hint="eastAsia" w:ascii="仿宋_GB2312" w:hAnsi="sans-serif" w:eastAsia="仿宋_GB2312" w:cs="仿宋_GB2312"/>
          <w:b/>
          <w:bCs/>
          <w:color w:val="000000" w:themeColor="text1"/>
          <w:sz w:val="32"/>
          <w:szCs w:val="32"/>
          <w14:textFill>
            <w14:solidFill>
              <w14:schemeClr w14:val="tx1"/>
            </w14:solidFill>
          </w14:textFill>
        </w:rPr>
        <w:t>二是</w:t>
      </w:r>
      <w:r>
        <w:rPr>
          <w:rFonts w:hint="eastAsia" w:ascii="仿宋_GB2312" w:hAnsi="sans-serif" w:eastAsia="仿宋_GB2312" w:cs="仿宋_GB2312"/>
          <w:color w:val="000000" w:themeColor="text1"/>
          <w:sz w:val="32"/>
          <w:szCs w:val="32"/>
          <w14:textFill>
            <w14:solidFill>
              <w14:schemeClr w14:val="tx1"/>
            </w14:solidFill>
          </w14:textFill>
        </w:rPr>
        <w:t>公开内容重点不够清晰。部分栏目形式设计较为繁杂，但实质性、深层次的信息公开仍显不足，未能充分满足公众对重要政务信息的需求。</w:t>
      </w:r>
    </w:p>
    <w:p w14:paraId="61FB0B3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仿宋_GB2312"/>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（三）下一步改进措施</w:t>
      </w:r>
      <w:r>
        <w:rPr>
          <w:rFonts w:hint="eastAsia" w:ascii="楷体_GB2312" w:hAnsi="sans-serif" w:eastAsia="楷体_GB2312" w:cs="仿宋_GB2312"/>
          <w:color w:val="000000" w:themeColor="text1"/>
          <w:sz w:val="32"/>
          <w:szCs w:val="32"/>
          <w:lang w:eastAsia="zh-CN"/>
          <w14:textFill>
            <w14:solidFill>
              <w14:schemeClr w14:val="tx1"/>
            </w14:solidFill>
          </w14:textFill>
        </w:rPr>
        <w:t>。</w:t>
      </w:r>
      <w:r>
        <w:rPr>
          <w:rFonts w:hint="default" w:ascii="仿宋_GB2312" w:hAnsi="sans-serif" w:eastAsia="仿宋_GB2312" w:cs="仿宋_GB2312"/>
          <w:b/>
          <w:bCs/>
          <w:color w:val="000000" w:themeColor="text1"/>
          <w:sz w:val="32"/>
          <w:szCs w:val="32"/>
          <w14:textFill>
            <w14:solidFill>
              <w14:schemeClr w14:val="tx1"/>
            </w14:solidFill>
          </w14:textFill>
        </w:rPr>
        <w:t>一是突出政治引领，增强政务公开时效性。</w:t>
      </w:r>
      <w:r>
        <w:rPr>
          <w:rFonts w:hint="default" w:ascii="仿宋_GB2312" w:hAnsi="sans-serif" w:eastAsia="仿宋_GB2312" w:cs="仿宋_GB2312"/>
          <w:color w:val="000000" w:themeColor="text1"/>
          <w:sz w:val="32"/>
          <w:szCs w:val="32"/>
          <w14:textFill>
            <w14:solidFill>
              <w14:schemeClr w14:val="tx1"/>
            </w14:solidFill>
          </w14:textFill>
        </w:rPr>
        <w:t>始终将政治要求贯穿于政府信息公开全过程，深入践行习近平新时代中国特色社会主义思想。积极拓展公开途径，优化网站平台功能，确保政务信息及时、准确发布与更新。</w:t>
      </w:r>
      <w:r>
        <w:rPr>
          <w:rFonts w:hint="default" w:ascii="仿宋_GB2312" w:hAnsi="sans-serif" w:eastAsia="仿宋_GB2312" w:cs="仿宋_GB2312"/>
          <w:b/>
          <w:bCs/>
          <w:color w:val="000000" w:themeColor="text1"/>
          <w:sz w:val="32"/>
          <w:szCs w:val="32"/>
          <w14:textFill>
            <w14:solidFill>
              <w14:schemeClr w14:val="tx1"/>
            </w14:solidFill>
          </w14:textFill>
        </w:rPr>
        <w:t>二是强化责任落实，夯实政务公开内容基础。</w:t>
      </w:r>
      <w:r>
        <w:rPr>
          <w:rFonts w:hint="default" w:ascii="仿宋_GB2312" w:hAnsi="sans-serif" w:eastAsia="仿宋_GB2312" w:cs="仿宋_GB2312"/>
          <w:color w:val="000000" w:themeColor="text1"/>
          <w:sz w:val="32"/>
          <w:szCs w:val="32"/>
          <w14:textFill>
            <w14:solidFill>
              <w14:schemeClr w14:val="tx1"/>
            </w14:solidFill>
          </w14:textFill>
        </w:rPr>
        <w:t>落实专人专责机制，负责信息公开日常维护与内容更新，建立健全监督管理体系。严格执行信息审核责任制，遵循</w:t>
      </w:r>
      <w:r>
        <w:rPr>
          <w:rFonts w:hint="eastAsia" w:ascii="仿宋_GB2312" w:hAnsi="sans-serif" w:eastAsia="仿宋_GB2312" w:cs="仿宋_GB2312"/>
          <w:color w:val="000000" w:themeColor="text1"/>
          <w:sz w:val="32"/>
          <w:szCs w:val="32"/>
          <w:lang w:eastAsia="zh-CN"/>
          <w14:textFill>
            <w14:solidFill>
              <w14:schemeClr w14:val="tx1"/>
            </w14:solidFill>
          </w14:textFill>
        </w:rPr>
        <w:t>“</w:t>
      </w:r>
      <w:r>
        <w:rPr>
          <w:rFonts w:hint="default" w:ascii="仿宋_GB2312" w:hAnsi="sans-serif" w:eastAsia="仿宋_GB2312" w:cs="仿宋_GB2312"/>
          <w:color w:val="000000" w:themeColor="text1"/>
          <w:sz w:val="32"/>
          <w:szCs w:val="32"/>
          <w14:textFill>
            <w14:solidFill>
              <w14:schemeClr w14:val="tx1"/>
            </w14:solidFill>
          </w14:textFill>
        </w:rPr>
        <w:t>提供者负责、审批者把关</w:t>
      </w:r>
      <w:r>
        <w:rPr>
          <w:rFonts w:hint="eastAsia" w:ascii="仿宋_GB2312" w:hAnsi="sans-serif" w:eastAsia="仿宋_GB2312" w:cs="仿宋_GB2312"/>
          <w:color w:val="000000" w:themeColor="text1"/>
          <w:sz w:val="32"/>
          <w:szCs w:val="32"/>
          <w:lang w:eastAsia="zh-CN"/>
          <w14:textFill>
            <w14:solidFill>
              <w14:schemeClr w14:val="tx1"/>
            </w14:solidFill>
          </w14:textFill>
        </w:rPr>
        <w:t>”</w:t>
      </w:r>
      <w:r>
        <w:rPr>
          <w:rFonts w:hint="default" w:ascii="仿宋_GB2312" w:hAnsi="sans-serif" w:eastAsia="仿宋_GB2312" w:cs="仿宋_GB2312"/>
          <w:color w:val="000000" w:themeColor="text1"/>
          <w:sz w:val="32"/>
          <w:szCs w:val="32"/>
          <w14:textFill>
            <w14:solidFill>
              <w14:schemeClr w14:val="tx1"/>
            </w14:solidFill>
          </w14:textFill>
        </w:rPr>
        <w:t>原则，对发布信息进行严密审核，确保内容安全、真实、准确，全面加强各类新媒体平台的内容支撑。</w:t>
      </w:r>
      <w:r>
        <w:rPr>
          <w:rFonts w:hint="default" w:ascii="仿宋_GB2312" w:hAnsi="sans-serif" w:eastAsia="仿宋_GB2312" w:cs="仿宋_GB2312"/>
          <w:b/>
          <w:bCs/>
          <w:color w:val="000000" w:themeColor="text1"/>
          <w:sz w:val="32"/>
          <w:szCs w:val="32"/>
          <w14:textFill>
            <w14:solidFill>
              <w14:schemeClr w14:val="tx1"/>
            </w14:solidFill>
          </w14:textFill>
        </w:rPr>
        <w:t>三是注重能力建设，提升政务公开管理效能。</w:t>
      </w:r>
      <w:r>
        <w:rPr>
          <w:rFonts w:hint="default" w:ascii="仿宋_GB2312" w:hAnsi="sans-serif" w:eastAsia="仿宋_GB2312" w:cs="仿宋_GB2312"/>
          <w:color w:val="000000" w:themeColor="text1"/>
          <w:sz w:val="32"/>
          <w:szCs w:val="32"/>
          <w14:textFill>
            <w14:solidFill>
              <w14:schemeClr w14:val="tx1"/>
            </w14:solidFill>
          </w14:textFill>
        </w:rPr>
        <w:t>加强对信息公开工作人员的系统培训，深化责任担当意识，持续提升队伍的政治素养与专业能力。积极借鉴优秀政务新媒体运营经验，深入探索宣传创新与内容优化的有效路径，推动公开工作提质增效。</w:t>
      </w:r>
    </w:p>
    <w:p w14:paraId="49F097C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textAlignment w:val="auto"/>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六、其他需要报告的事项</w:t>
      </w:r>
    </w:p>
    <w:p w14:paraId="3598035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sans-serif"/>
          <w:color w:val="auto"/>
          <w:sz w:val="32"/>
          <w:szCs w:val="32"/>
        </w:rPr>
      </w:pPr>
      <w:r>
        <w:rPr>
          <w:rFonts w:hint="eastAsia" w:ascii="仿宋_GB2312" w:hAnsi="仿宋_GB2312" w:eastAsia="仿宋_GB2312" w:cs="仿宋_GB2312"/>
          <w:color w:val="auto"/>
          <w:sz w:val="32"/>
          <w:szCs w:val="32"/>
        </w:rPr>
        <w:t>（一）</w:t>
      </w:r>
      <w:r>
        <w:rPr>
          <w:rFonts w:hint="eastAsia" w:ascii="仿宋_GB2312" w:hAnsi="sans-serif" w:eastAsia="仿宋_GB2312" w:cs="仿宋_GB2312"/>
          <w:color w:val="auto"/>
          <w:sz w:val="32"/>
          <w:szCs w:val="32"/>
        </w:rPr>
        <w:t>依据《政府信息公开信息处理费管理办法》，区商务和投资促进局全年没有收取信息公开处理费。</w:t>
      </w:r>
    </w:p>
    <w:p w14:paraId="2C6899C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sans-serif"/>
          <w:color w:val="auto"/>
          <w:sz w:val="32"/>
          <w:szCs w:val="32"/>
        </w:rPr>
      </w:pPr>
      <w:r>
        <w:rPr>
          <w:rFonts w:hint="eastAsia" w:ascii="仿宋_GB2312" w:hAnsi="仿宋_GB2312" w:eastAsia="仿宋_GB2312" w:cs="仿宋_GB2312"/>
          <w:color w:val="auto"/>
          <w:sz w:val="32"/>
          <w:szCs w:val="32"/>
        </w:rPr>
        <w:t>（二）</w:t>
      </w:r>
      <w:r>
        <w:rPr>
          <w:rFonts w:hint="eastAsia" w:ascii="仿宋_GB2312" w:hAnsi="sans-serif" w:eastAsia="仿宋_GB2312" w:cs="仿宋_GB2312"/>
          <w:color w:val="auto"/>
          <w:sz w:val="32"/>
          <w:szCs w:val="32"/>
        </w:rPr>
        <w:t>区商务和投资促进局严格按照</w:t>
      </w:r>
      <w:r>
        <w:rPr>
          <w:rFonts w:hint="eastAsia" w:ascii="仿宋_GB2312" w:hAnsi="sans-serif" w:eastAsia="仿宋_GB2312" w:cs="仿宋_GB2312"/>
          <w:color w:val="auto"/>
          <w:sz w:val="32"/>
          <w:szCs w:val="32"/>
          <w:lang w:val="en-US" w:eastAsia="zh-CN"/>
        </w:rPr>
        <w:t>上级</w:t>
      </w:r>
      <w:r>
        <w:rPr>
          <w:rFonts w:hint="eastAsia" w:ascii="仿宋_GB2312" w:hAnsi="sans-serif" w:eastAsia="仿宋_GB2312" w:cs="仿宋_GB2312"/>
          <w:color w:val="auto"/>
          <w:sz w:val="32"/>
          <w:szCs w:val="32"/>
        </w:rPr>
        <w:t>要求，结合商务工作实际，对202</w:t>
      </w:r>
      <w:r>
        <w:rPr>
          <w:rFonts w:hint="eastAsia" w:ascii="仿宋_GB2312" w:hAnsi="sans-serif" w:eastAsia="仿宋_GB2312" w:cs="仿宋_GB2312"/>
          <w:color w:val="auto"/>
          <w:sz w:val="32"/>
          <w:szCs w:val="32"/>
          <w:lang w:val="en-US" w:eastAsia="zh-CN"/>
        </w:rPr>
        <w:t>5</w:t>
      </w:r>
      <w:r>
        <w:rPr>
          <w:rFonts w:hint="eastAsia" w:ascii="仿宋_GB2312" w:hAnsi="sans-serif" w:eastAsia="仿宋_GB2312" w:cs="仿宋_GB2312"/>
          <w:color w:val="auto"/>
          <w:sz w:val="32"/>
          <w:szCs w:val="32"/>
        </w:rPr>
        <w:t>年政务公开重点工作任务进行分工，科学制定工作要点，有序推进政务公开工作。</w:t>
      </w:r>
    </w:p>
    <w:p w14:paraId="3CD5908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sans-serif"/>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sans-serif" w:eastAsia="仿宋_GB2312" w:cs="仿宋_GB2312"/>
          <w:color w:val="auto"/>
          <w:sz w:val="32"/>
          <w:szCs w:val="32"/>
        </w:rPr>
        <w:t>区商务和投资促进局全年共收到市级政协提案</w:t>
      </w:r>
      <w:r>
        <w:rPr>
          <w:rFonts w:hint="eastAsia" w:ascii="仿宋_GB2312" w:hAnsi="sans-serif" w:eastAsia="仿宋_GB2312" w:cs="仿宋_GB2312"/>
          <w:color w:val="auto"/>
          <w:sz w:val="32"/>
          <w:szCs w:val="32"/>
          <w:lang w:val="en-US" w:eastAsia="zh-CN"/>
        </w:rPr>
        <w:t>2</w:t>
      </w:r>
      <w:r>
        <w:rPr>
          <w:rFonts w:hint="eastAsia" w:ascii="仿宋_GB2312" w:hAnsi="sans-serif" w:eastAsia="仿宋_GB2312" w:cs="仿宋_GB2312"/>
          <w:color w:val="auto"/>
          <w:sz w:val="32"/>
          <w:szCs w:val="32"/>
        </w:rPr>
        <w:t>件、区级政协提案</w:t>
      </w:r>
      <w:r>
        <w:rPr>
          <w:rFonts w:hint="eastAsia" w:ascii="仿宋_GB2312" w:hAnsi="sans-serif" w:eastAsia="仿宋_GB2312" w:cs="仿宋_GB2312"/>
          <w:color w:val="auto"/>
          <w:sz w:val="32"/>
          <w:szCs w:val="32"/>
          <w:lang w:val="en-US" w:eastAsia="zh-CN"/>
        </w:rPr>
        <w:t>6</w:t>
      </w:r>
      <w:r>
        <w:rPr>
          <w:rFonts w:hint="eastAsia" w:ascii="仿宋_GB2312" w:hAnsi="sans-serif" w:eastAsia="仿宋_GB2312" w:cs="仿宋_GB2312"/>
          <w:color w:val="auto"/>
          <w:sz w:val="32"/>
          <w:szCs w:val="32"/>
        </w:rPr>
        <w:t>件。承办的建议提案均在规定的时限内答复完毕，并在区政府网站建议提案办理专栏进行了主动公开。</w:t>
      </w:r>
    </w:p>
    <w:p w14:paraId="048BD11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仿宋_GB2312" w:hAnsi="sans-serif"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sans-serif" w:eastAsia="仿宋_GB2312" w:cs="仿宋_GB2312"/>
          <w:color w:val="auto"/>
          <w:sz w:val="32"/>
          <w:szCs w:val="32"/>
        </w:rPr>
        <w:t>区商务和投资促进局政务公开</w:t>
      </w:r>
      <w:r>
        <w:rPr>
          <w:rFonts w:hint="eastAsia" w:ascii="仿宋_GB2312" w:hAnsi="sans-serif" w:eastAsia="仿宋_GB2312" w:cs="仿宋_GB2312"/>
          <w:color w:val="auto"/>
          <w:sz w:val="32"/>
          <w:szCs w:val="32"/>
          <w:lang w:val="en-US" w:eastAsia="zh-CN"/>
        </w:rPr>
        <w:t>无</w:t>
      </w:r>
      <w:r>
        <w:rPr>
          <w:rFonts w:hint="eastAsia" w:ascii="仿宋_GB2312" w:hAnsi="sans-serif" w:eastAsia="仿宋_GB2312" w:cs="仿宋_GB2312"/>
          <w:color w:val="auto"/>
          <w:sz w:val="32"/>
          <w:szCs w:val="32"/>
        </w:rPr>
        <w:t>工作创新情况。</w:t>
      </w:r>
    </w:p>
    <w:p w14:paraId="320966C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sans-serif"/>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sans-serif" w:eastAsia="仿宋_GB2312" w:cs="仿宋_GB2312"/>
          <w:color w:val="auto"/>
          <w:sz w:val="32"/>
          <w:szCs w:val="32"/>
        </w:rPr>
        <w:t>本报告中所列数据的统计期限为202</w:t>
      </w:r>
      <w:r>
        <w:rPr>
          <w:rFonts w:hint="eastAsia" w:ascii="仿宋_GB2312" w:hAnsi="sans-serif" w:eastAsia="仿宋_GB2312" w:cs="仿宋_GB2312"/>
          <w:color w:val="auto"/>
          <w:sz w:val="32"/>
          <w:szCs w:val="32"/>
          <w:lang w:val="en-US" w:eastAsia="zh-CN"/>
        </w:rPr>
        <w:t>5</w:t>
      </w:r>
      <w:r>
        <w:rPr>
          <w:rFonts w:hint="eastAsia" w:ascii="仿宋_GB2312" w:hAnsi="sans-serif" w:eastAsia="仿宋_GB2312" w:cs="仿宋_GB2312"/>
          <w:color w:val="auto"/>
          <w:sz w:val="32"/>
          <w:szCs w:val="32"/>
        </w:rPr>
        <w:t>年1月1日至202</w:t>
      </w:r>
      <w:r>
        <w:rPr>
          <w:rFonts w:hint="eastAsia" w:ascii="仿宋_GB2312" w:hAnsi="sans-serif" w:eastAsia="仿宋_GB2312" w:cs="仿宋_GB2312"/>
          <w:color w:val="auto"/>
          <w:sz w:val="32"/>
          <w:szCs w:val="32"/>
          <w:lang w:val="en-US" w:eastAsia="zh-CN"/>
        </w:rPr>
        <w:t>5</w:t>
      </w:r>
      <w:r>
        <w:rPr>
          <w:rFonts w:hint="eastAsia" w:ascii="仿宋_GB2312" w:hAnsi="sans-serif" w:eastAsia="仿宋_GB2312" w:cs="仿宋_GB2312"/>
          <w:color w:val="auto"/>
          <w:sz w:val="32"/>
          <w:szCs w:val="32"/>
        </w:rPr>
        <w:t>年12月31日。</w:t>
      </w:r>
    </w:p>
    <w:p w14:paraId="49BBBB6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sans-serif"/>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sans-serif" w:eastAsia="仿宋_GB2312" w:cs="仿宋_GB2312"/>
          <w:color w:val="auto"/>
          <w:sz w:val="32"/>
          <w:szCs w:val="32"/>
        </w:rPr>
        <w:t>区商务和投资促进局本年度没有其他需要报告的事项。</w:t>
      </w:r>
    </w:p>
    <w:p w14:paraId="34A30A7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w:t>
      </w:r>
      <w:r>
        <w:rPr>
          <w:rFonts w:hint="eastAsia" w:ascii="仿宋_GB2312" w:hAnsi="sans-serif" w:eastAsia="仿宋_GB2312" w:cs="仿宋_GB2312"/>
          <w:color w:val="auto"/>
          <w:sz w:val="32"/>
          <w:szCs w:val="32"/>
        </w:rPr>
        <w:t>区商务和投资促进局无其他有关文件专门要求通过政府信息公开工作</w:t>
      </w:r>
      <w:r>
        <w:rPr>
          <w:rFonts w:hint="eastAsia" w:ascii="仿宋_GB2312" w:hAnsi="sans-serif" w:eastAsia="仿宋_GB2312" w:cs="仿宋_GB2312"/>
          <w:color w:val="000000" w:themeColor="text1"/>
          <w:sz w:val="32"/>
          <w:szCs w:val="32"/>
          <w14:textFill>
            <w14:solidFill>
              <w14:schemeClr w14:val="tx1"/>
            </w14:solidFill>
          </w14:textFill>
        </w:rPr>
        <w:t>年度报告予以报告的事项。</w:t>
      </w:r>
    </w:p>
    <w:p w14:paraId="62D1F23D">
      <w:pPr>
        <w:keepNext w:val="0"/>
        <w:keepLines w:val="0"/>
        <w:pageBreakBefore w:val="0"/>
        <w:kinsoku/>
        <w:wordWrap/>
        <w:overflowPunct/>
        <w:topLinePunct w:val="0"/>
        <w:autoSpaceDE/>
        <w:autoSpaceDN/>
        <w:bidi w:val="0"/>
        <w:adjustRightInd/>
        <w:snapToGrid/>
        <w:spacing w:line="560" w:lineRule="exact"/>
        <w:ind w:firstLine="618"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0F3230">
      <w:pPr>
        <w:keepNext w:val="0"/>
        <w:keepLines w:val="0"/>
        <w:pageBreakBefore w:val="0"/>
        <w:kinsoku/>
        <w:wordWrap/>
        <w:overflowPunct/>
        <w:topLinePunct w:val="0"/>
        <w:autoSpaceDE/>
        <w:autoSpaceDN/>
        <w:bidi w:val="0"/>
        <w:adjustRightInd/>
        <w:snapToGrid/>
        <w:spacing w:line="560" w:lineRule="exact"/>
        <w:ind w:firstLine="618"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w:t>
      </w:r>
      <w:r>
        <w:rPr>
          <w:rFonts w:hint="eastAsia" w:ascii="仿宋_GB2312" w:hAnsi="sans-serif" w:eastAsia="仿宋_GB2312" w:cs="仿宋_GB2312"/>
          <w:color w:val="000000" w:themeColor="text1"/>
          <w:sz w:val="32"/>
          <w:szCs w:val="32"/>
          <w14:textFill>
            <w14:solidFill>
              <w14:schemeClr w14:val="tx1"/>
            </w14:solidFill>
          </w14:textFill>
        </w:rPr>
        <w:t>商务和投资促进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p>
    <w:p w14:paraId="77D8E9CF">
      <w:pPr>
        <w:keepNext w:val="0"/>
        <w:keepLines w:val="0"/>
        <w:pageBreakBefore w:val="0"/>
        <w:kinsoku/>
        <w:wordWrap/>
        <w:overflowPunct/>
        <w:topLinePunct w:val="0"/>
        <w:autoSpaceDE/>
        <w:autoSpaceDN/>
        <w:bidi w:val="0"/>
        <w:adjustRightInd/>
        <w:snapToGrid/>
        <w:spacing w:line="560" w:lineRule="exact"/>
        <w:ind w:firstLine="618" w:firstLineChars="200"/>
        <w:jc w:val="right"/>
        <w:textAlignment w:val="auto"/>
        <w:rPr>
          <w:rFonts w:ascii="仿宋_GB2312" w:hAnsi="仿宋_GB2312" w:eastAsia="仿宋_GB2312" w:cs="Calibri"/>
          <w:sz w:val="32"/>
          <w:szCs w:val="32"/>
          <w:shd w:val="clear" w:color="auto"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2026年1月14日</w:t>
      </w:r>
    </w:p>
    <w:sectPr>
      <w:footerReference r:id="rId3" w:type="default"/>
      <w:footerReference r:id="rId4" w:type="even"/>
      <w:pgSz w:w="11906" w:h="16838"/>
      <w:pgMar w:top="1985" w:right="1588" w:bottom="1701" w:left="1588" w:header="850" w:footer="992"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A5E139-5957-415B-B7B3-B4BD02447C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FB7900D-2418-4E54-9CE8-E7F207686B2C}"/>
  </w:font>
  <w:font w:name="仿宋_GB2312">
    <w:panose1 w:val="02010609030101010101"/>
    <w:charset w:val="86"/>
    <w:family w:val="modern"/>
    <w:pitch w:val="default"/>
    <w:sig w:usb0="00000001" w:usb1="080E0000" w:usb2="00000000" w:usb3="00000000" w:csb0="00040000" w:csb1="00000000"/>
    <w:embedRegular r:id="rId3" w:fontKey="{9B6AE8F5-619C-4345-B7C3-CD398F4D528C}"/>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embedRegular r:id="rId4" w:fontKey="{13B534AF-E818-434D-85A1-FB11AE7E7E7B}"/>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embedRegular r:id="rId5" w:fontKey="{89A96589-B903-4500-BC07-300C5B04E3D8}"/>
  </w:font>
  <w:font w:name="楷体">
    <w:panose1 w:val="02010609060101010101"/>
    <w:charset w:val="86"/>
    <w:family w:val="modern"/>
    <w:pitch w:val="default"/>
    <w:sig w:usb0="800002BF" w:usb1="38CF7CFA" w:usb2="00000016" w:usb3="00000000" w:csb0="00040001" w:csb1="00000000"/>
    <w:embedRegular r:id="rId6" w:fontKey="{E3BA5672-F324-4FB9-B8B6-9C40D22C25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1583748"/>
    <w:rsid w:val="019127B6"/>
    <w:rsid w:val="03547F3F"/>
    <w:rsid w:val="03C055D4"/>
    <w:rsid w:val="052B4CCF"/>
    <w:rsid w:val="056703FD"/>
    <w:rsid w:val="085C148C"/>
    <w:rsid w:val="09761918"/>
    <w:rsid w:val="0C3B6140"/>
    <w:rsid w:val="0D63594E"/>
    <w:rsid w:val="0D7731A8"/>
    <w:rsid w:val="12393037"/>
    <w:rsid w:val="125E4936"/>
    <w:rsid w:val="12CA06CE"/>
    <w:rsid w:val="138E161F"/>
    <w:rsid w:val="147E4E1C"/>
    <w:rsid w:val="14A56265"/>
    <w:rsid w:val="1534372C"/>
    <w:rsid w:val="169F72CB"/>
    <w:rsid w:val="178766DD"/>
    <w:rsid w:val="17991F6C"/>
    <w:rsid w:val="19762565"/>
    <w:rsid w:val="19FF69FF"/>
    <w:rsid w:val="1ADD5D48"/>
    <w:rsid w:val="1B965141"/>
    <w:rsid w:val="1ED623C4"/>
    <w:rsid w:val="20B322F1"/>
    <w:rsid w:val="21076199"/>
    <w:rsid w:val="22DE784D"/>
    <w:rsid w:val="23812232"/>
    <w:rsid w:val="2423778D"/>
    <w:rsid w:val="25070E5D"/>
    <w:rsid w:val="27765E26"/>
    <w:rsid w:val="27D52B4D"/>
    <w:rsid w:val="28221B0A"/>
    <w:rsid w:val="28EB12EF"/>
    <w:rsid w:val="2B300A31"/>
    <w:rsid w:val="2B577D1D"/>
    <w:rsid w:val="2B8925CC"/>
    <w:rsid w:val="2C6C5774"/>
    <w:rsid w:val="2D0143E4"/>
    <w:rsid w:val="2D7D7F0E"/>
    <w:rsid w:val="2E1B3EB1"/>
    <w:rsid w:val="2EE43FBD"/>
    <w:rsid w:val="2F104DB2"/>
    <w:rsid w:val="31AD5900"/>
    <w:rsid w:val="34EC3754"/>
    <w:rsid w:val="35B66FFF"/>
    <w:rsid w:val="374101FF"/>
    <w:rsid w:val="375D490D"/>
    <w:rsid w:val="39A9208B"/>
    <w:rsid w:val="3A855B9E"/>
    <w:rsid w:val="3AB84BCE"/>
    <w:rsid w:val="3B3F3B31"/>
    <w:rsid w:val="3B5E96CB"/>
    <w:rsid w:val="3E66054B"/>
    <w:rsid w:val="3E990920"/>
    <w:rsid w:val="3EFB6EE5"/>
    <w:rsid w:val="3FE78241"/>
    <w:rsid w:val="40512B35"/>
    <w:rsid w:val="407D392A"/>
    <w:rsid w:val="42C6780A"/>
    <w:rsid w:val="43D61CCF"/>
    <w:rsid w:val="45101210"/>
    <w:rsid w:val="4678706D"/>
    <w:rsid w:val="49184B37"/>
    <w:rsid w:val="4A317C5F"/>
    <w:rsid w:val="4BF70A34"/>
    <w:rsid w:val="4D1A2C2C"/>
    <w:rsid w:val="4DC96400"/>
    <w:rsid w:val="4E1A6C5C"/>
    <w:rsid w:val="4E263853"/>
    <w:rsid w:val="50AB003F"/>
    <w:rsid w:val="57F95408"/>
    <w:rsid w:val="586C4558"/>
    <w:rsid w:val="5898534D"/>
    <w:rsid w:val="598A113A"/>
    <w:rsid w:val="59BDE728"/>
    <w:rsid w:val="5A8D766B"/>
    <w:rsid w:val="5BE80399"/>
    <w:rsid w:val="5BF94355"/>
    <w:rsid w:val="5CD03307"/>
    <w:rsid w:val="5CEA1173"/>
    <w:rsid w:val="5CFDC638"/>
    <w:rsid w:val="5DBC388C"/>
    <w:rsid w:val="5DC61B00"/>
    <w:rsid w:val="5DF77933"/>
    <w:rsid w:val="5E2751A9"/>
    <w:rsid w:val="5E8425FB"/>
    <w:rsid w:val="60126AA6"/>
    <w:rsid w:val="610C0686"/>
    <w:rsid w:val="62165C60"/>
    <w:rsid w:val="63620412"/>
    <w:rsid w:val="65F8334A"/>
    <w:rsid w:val="65FA7647"/>
    <w:rsid w:val="66DE2AC5"/>
    <w:rsid w:val="67957627"/>
    <w:rsid w:val="68190258"/>
    <w:rsid w:val="684B5F38"/>
    <w:rsid w:val="68917DF9"/>
    <w:rsid w:val="696A62C2"/>
    <w:rsid w:val="69894F6A"/>
    <w:rsid w:val="6BB4591A"/>
    <w:rsid w:val="6CCE0EE6"/>
    <w:rsid w:val="6F5E1F53"/>
    <w:rsid w:val="72E36D0B"/>
    <w:rsid w:val="73025D8D"/>
    <w:rsid w:val="73045661"/>
    <w:rsid w:val="752913AF"/>
    <w:rsid w:val="752F3AB5"/>
    <w:rsid w:val="762027B2"/>
    <w:rsid w:val="765863F0"/>
    <w:rsid w:val="776E39F1"/>
    <w:rsid w:val="77F8480C"/>
    <w:rsid w:val="78526E6F"/>
    <w:rsid w:val="79EFAF21"/>
    <w:rsid w:val="7CC80DF1"/>
    <w:rsid w:val="7D254C23"/>
    <w:rsid w:val="7F201A75"/>
    <w:rsid w:val="7F7B8340"/>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3108</Words>
  <Characters>3239</Characters>
  <Lines>19</Lines>
  <Paragraphs>5</Paragraphs>
  <TotalTime>15</TotalTime>
  <ScaleCrop>false</ScaleCrop>
  <LinksUpToDate>false</LinksUpToDate>
  <CharactersWithSpaces>3239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任育娇</cp:lastModifiedBy>
  <cp:lastPrinted>2025-01-07T02:41:00Z</cp:lastPrinted>
  <dcterms:modified xsi:type="dcterms:W3CDTF">2026-01-22T07:17:12Z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3D7034F60DA0465DB980D0831A912BE7_13</vt:lpwstr>
  </property>
  <property fmtid="{D5CDD505-2E9C-101B-9397-08002B2CF9AE}" pid="3" name="KSOProductBuildVer">
    <vt:lpwstr>2052-12.1.0.23542</vt:lpwstr>
  </property>
  <property fmtid="{D5CDD505-2E9C-101B-9397-08002B2CF9AE}" pid="4" name="KSOTemplateDocerSaveRecord">
    <vt:lpwstr>eyJoZGlkIjoiODA1ZWQ1N2ZjZDM1OGNjYjdiOTc3YTYzNzRjMjFmOTciLCJ1c2VySWQiOiI3MjMyNTE5In0=</vt:lpwstr>
  </property>
</Properties>
</file>