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D058A">
      <w:pPr>
        <w:widowControl/>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枣庄市台儿庄区卫生健康局</w:t>
      </w:r>
    </w:p>
    <w:p w14:paraId="57F5BB16">
      <w:pPr>
        <w:widowControl/>
        <w:spacing w:line="560" w:lineRule="exact"/>
        <w:jc w:val="center"/>
        <w:rPr>
          <w:rFonts w:ascii="宋体" w:hAnsi="宋体" w:eastAsia="宋体" w:cs="宋体"/>
          <w:kern w:val="0"/>
          <w:sz w:val="20"/>
          <w:szCs w:val="20"/>
        </w:rPr>
      </w:pPr>
      <w:r>
        <w:rPr>
          <w:rFonts w:hint="eastAsia" w:ascii="方正小标宋简体" w:hAnsi="Calibri" w:eastAsia="方正小标宋简体" w:cs="宋体"/>
          <w:kern w:val="0"/>
          <w:sz w:val="44"/>
          <w:szCs w:val="44"/>
        </w:rPr>
        <w:t>202</w:t>
      </w:r>
      <w:r>
        <w:rPr>
          <w:rFonts w:hint="eastAsia" w:ascii="方正小标宋简体" w:hAnsi="Calibri" w:eastAsia="方正小标宋简体" w:cs="宋体"/>
          <w:kern w:val="0"/>
          <w:sz w:val="44"/>
          <w:szCs w:val="44"/>
          <w:lang w:val="en-US" w:eastAsia="zh-CN"/>
        </w:rPr>
        <w:t>5</w:t>
      </w:r>
      <w:r>
        <w:rPr>
          <w:rFonts w:hint="eastAsia" w:ascii="方正小标宋简体" w:hAnsi="宋体" w:eastAsia="方正小标宋简体" w:cs="宋体"/>
          <w:kern w:val="0"/>
          <w:sz w:val="44"/>
          <w:szCs w:val="44"/>
        </w:rPr>
        <w:t>年政府信息公开工作年度报告</w:t>
      </w:r>
    </w:p>
    <w:p w14:paraId="01362CC0">
      <w:pPr>
        <w:widowControl/>
        <w:spacing w:line="560" w:lineRule="exact"/>
        <w:jc w:val="center"/>
        <w:rPr>
          <w:rFonts w:ascii="宋体" w:hAnsi="宋体" w:eastAsia="宋体" w:cs="宋体"/>
          <w:kern w:val="0"/>
          <w:sz w:val="20"/>
          <w:szCs w:val="20"/>
        </w:rPr>
      </w:pPr>
    </w:p>
    <w:p w14:paraId="2F833F30">
      <w:pPr>
        <w:widowControl/>
        <w:spacing w:line="560" w:lineRule="exact"/>
        <w:ind w:firstLine="63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根据《中华人民共和国政府信息公开条例》（国务院令第711号）</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《台儿庄区人民政府办公室关于做好202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年度政府信息公开工作年度报告编制和发布工作的通知》要求，现发布《枣庄市台儿庄区卫生健康局202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年政府信息公开工作年度报告》。本报告依据台儿庄区卫生健康局202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年度政府信息公开工作实际编制，数据统计期限为202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年1月1日至202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12月31日。报告电子版可在台儿庄区人民政府门户网站（http://www.tez.gov.cn/）查阅或下载。如对报告内容有疑问，请与台儿庄区卫生健康局办公室联系（地址：枣庄市台儿庄区运河大道3757号；邮编：277400；电话：0632-6611517；邮箱：wjj6611517@zz.shandong.cn）。</w:t>
      </w:r>
    </w:p>
    <w:p w14:paraId="14AFA745">
      <w:pPr>
        <w:widowControl/>
        <w:spacing w:line="560" w:lineRule="exact"/>
        <w:ind w:firstLine="634"/>
        <w:jc w:val="left"/>
        <w:outlineLvl w:val="0"/>
        <w:rPr>
          <w:rFonts w:ascii="宋体" w:hAnsi="宋体" w:eastAsia="宋体" w:cs="宋体"/>
          <w:b/>
          <w:bCs/>
          <w:kern w:val="36"/>
          <w:sz w:val="48"/>
          <w:szCs w:val="48"/>
        </w:rPr>
      </w:pPr>
      <w:r>
        <w:rPr>
          <w:rFonts w:hint="eastAsia" w:ascii="黑体" w:hAnsi="黑体" w:eastAsia="黑体" w:cs="宋体"/>
          <w:kern w:val="36"/>
          <w:sz w:val="32"/>
          <w:szCs w:val="32"/>
        </w:rPr>
        <w:t>一、总体情况</w:t>
      </w:r>
    </w:p>
    <w:p w14:paraId="78509C49">
      <w:pPr>
        <w:widowControl/>
        <w:spacing w:line="560" w:lineRule="exact"/>
        <w:ind w:firstLine="634"/>
        <w:jc w:val="left"/>
        <w:outlineLvl w:val="0"/>
        <w:rPr>
          <w:rFonts w:hint="eastAsia" w:ascii="仿宋_GB2312" w:hAnsi="宋体" w:eastAsia="仿宋_GB2312" w:cs="宋体"/>
          <w:kern w:val="36"/>
          <w:sz w:val="32"/>
          <w:szCs w:val="32"/>
        </w:rPr>
      </w:pPr>
      <w:r>
        <w:rPr>
          <w:rFonts w:hint="eastAsia" w:ascii="仿宋_GB2312" w:hAnsi="宋体" w:eastAsia="仿宋_GB2312" w:cs="宋体"/>
          <w:kern w:val="36"/>
          <w:sz w:val="32"/>
          <w:szCs w:val="32"/>
        </w:rPr>
        <w:t>区卫生健康局坚持以习近平新时代中国特色社会主义思想为指导，严格落实《中华人民共和国政府信息公开条例》要求，持续强化信息公开工作组织领导，健全完善公开制度机制，着力提升政务公开规范化、标准化水平，扎实推进公共卫生、医疗服务、健康政策等重点领域信息公开，切实保障人民群众的知情权、参与权、表达权和监督权，不断增强政务透明度和政府公信力。</w:t>
      </w:r>
    </w:p>
    <w:p w14:paraId="52BC70EF">
      <w:pPr>
        <w:widowControl/>
        <w:spacing w:line="560" w:lineRule="exact"/>
        <w:ind w:firstLine="634"/>
        <w:jc w:val="left"/>
        <w:outlineLvl w:val="0"/>
        <w:rPr>
          <w:rFonts w:ascii="宋体" w:hAnsi="宋体" w:eastAsia="宋体" w:cs="宋体"/>
          <w:b/>
          <w:bCs/>
          <w:kern w:val="36"/>
          <w:sz w:val="48"/>
          <w:szCs w:val="48"/>
        </w:rPr>
      </w:pPr>
      <w:r>
        <w:rPr>
          <w:rFonts w:hint="eastAsia" w:ascii="楷体_GB2312" w:hAnsi="宋体" w:eastAsia="楷体_GB2312" w:cs="宋体"/>
          <w:kern w:val="36"/>
          <w:sz w:val="32"/>
          <w:szCs w:val="32"/>
        </w:rPr>
        <w:t>（一）主动公开情况。</w:t>
      </w:r>
      <w:r>
        <w:rPr>
          <w:rFonts w:hint="eastAsia" w:ascii="仿宋_GB2312" w:hAnsi="Calibri" w:eastAsia="仿宋_GB2312" w:cs="宋体"/>
          <w:color w:val="00000A"/>
          <w:kern w:val="36"/>
          <w:sz w:val="32"/>
          <w:szCs w:val="32"/>
        </w:rPr>
        <w:t>202</w:t>
      </w:r>
      <w:r>
        <w:rPr>
          <w:rFonts w:hint="eastAsia" w:ascii="仿宋_GB2312" w:hAnsi="Calibri" w:eastAsia="仿宋_GB2312" w:cs="宋体"/>
          <w:color w:val="00000A"/>
          <w:kern w:val="36"/>
          <w:sz w:val="32"/>
          <w:szCs w:val="32"/>
          <w:lang w:val="en-US" w:eastAsia="zh-CN"/>
        </w:rPr>
        <w:t>5</w:t>
      </w:r>
      <w:r>
        <w:rPr>
          <w:rFonts w:hint="eastAsia" w:ascii="仿宋_GB2312" w:hAnsi="宋体" w:eastAsia="仿宋_GB2312" w:cs="宋体"/>
          <w:kern w:val="36"/>
          <w:sz w:val="32"/>
          <w:szCs w:val="32"/>
        </w:rPr>
        <w:t>年，我局依托台儿庄区政府门户网站政府信息公开平台，累计主动公开各类政府信息</w:t>
      </w:r>
      <w:r>
        <w:rPr>
          <w:rFonts w:hint="eastAsia" w:ascii="仿宋_GB2312" w:hAnsi="宋体" w:eastAsia="仿宋_GB2312" w:cs="宋体"/>
          <w:kern w:val="36"/>
          <w:sz w:val="32"/>
          <w:szCs w:val="32"/>
          <w:highlight w:val="none"/>
          <w:lang w:val="en-US" w:eastAsia="zh-CN"/>
        </w:rPr>
        <w:t>79</w:t>
      </w:r>
      <w:r>
        <w:rPr>
          <w:rFonts w:hint="eastAsia" w:ascii="仿宋_GB2312" w:hAnsi="宋体" w:eastAsia="仿宋_GB2312" w:cs="宋体"/>
          <w:kern w:val="36"/>
          <w:sz w:val="32"/>
          <w:szCs w:val="32"/>
        </w:rPr>
        <w:t>条</w:t>
      </w:r>
      <w:r>
        <w:rPr>
          <w:rFonts w:hint="eastAsia" w:ascii="仿宋_GB2312" w:hAnsi="宋体" w:eastAsia="仿宋_GB2312" w:cs="宋体"/>
          <w:kern w:val="36"/>
          <w:sz w:val="32"/>
          <w:szCs w:val="32"/>
          <w:lang w:eastAsia="zh-CN"/>
        </w:rPr>
        <w:t>，</w:t>
      </w:r>
      <w:r>
        <w:rPr>
          <w:rFonts w:hint="eastAsia" w:ascii="仿宋_GB2312" w:hAnsi="宋体" w:eastAsia="仿宋_GB2312" w:cs="宋体"/>
          <w:kern w:val="36"/>
          <w:sz w:val="32"/>
          <w:szCs w:val="32"/>
        </w:rPr>
        <w:t>其中通过信息公开栏公开各类信息</w:t>
      </w:r>
      <w:r>
        <w:rPr>
          <w:rFonts w:hint="eastAsia" w:ascii="仿宋_GB2312" w:hAnsi="宋体" w:eastAsia="仿宋_GB2312" w:cs="宋体"/>
          <w:kern w:val="36"/>
          <w:sz w:val="32"/>
          <w:szCs w:val="32"/>
          <w:highlight w:val="none"/>
          <w:lang w:val="en-US" w:eastAsia="zh-CN"/>
        </w:rPr>
        <w:t>42</w:t>
      </w:r>
      <w:r>
        <w:rPr>
          <w:rFonts w:hint="eastAsia" w:ascii="仿宋_GB2312" w:hAnsi="宋体" w:eastAsia="仿宋_GB2312" w:cs="宋体"/>
          <w:kern w:val="36"/>
          <w:sz w:val="32"/>
          <w:szCs w:val="32"/>
        </w:rPr>
        <w:t>条。</w:t>
      </w:r>
    </w:p>
    <w:p w14:paraId="1B7E54D6">
      <w:pPr>
        <w:widowControl/>
        <w:spacing w:line="560" w:lineRule="exact"/>
        <w:ind w:firstLine="634"/>
        <w:jc w:val="left"/>
        <w:rPr>
          <w:rFonts w:hint="eastAsia" w:ascii="仿宋_GB2312" w:hAnsi="Calibri" w:eastAsia="仿宋_GB2312" w:cs="宋体"/>
          <w:kern w:val="0"/>
          <w:sz w:val="32"/>
          <w:szCs w:val="32"/>
        </w:rPr>
      </w:pPr>
      <w:r>
        <w:rPr>
          <w:rFonts w:hint="eastAsia" w:ascii="楷体_GB2312" w:hAnsi="宋体" w:eastAsia="楷体_GB2312" w:cs="宋体"/>
          <w:kern w:val="0"/>
          <w:sz w:val="32"/>
          <w:szCs w:val="32"/>
        </w:rPr>
        <w:t>（二）依申请公开情况。</w:t>
      </w:r>
      <w:r>
        <w:rPr>
          <w:rFonts w:hint="eastAsia" w:ascii="仿宋_GB2312" w:hAnsi="Calibri" w:eastAsia="仿宋_GB2312" w:cs="宋体"/>
          <w:kern w:val="0"/>
          <w:sz w:val="32"/>
          <w:szCs w:val="32"/>
        </w:rPr>
        <w:t>202</w:t>
      </w:r>
      <w:r>
        <w:rPr>
          <w:rFonts w:hint="eastAsia" w:ascii="仿宋_GB2312" w:hAnsi="Calibri" w:eastAsia="仿宋_GB2312" w:cs="宋体"/>
          <w:kern w:val="0"/>
          <w:sz w:val="32"/>
          <w:szCs w:val="32"/>
          <w:lang w:val="en-US" w:eastAsia="zh-CN"/>
        </w:rPr>
        <w:t>5</w:t>
      </w:r>
      <w:r>
        <w:rPr>
          <w:rFonts w:hint="eastAsia" w:ascii="仿宋_GB2312" w:hAnsi="Calibri" w:eastAsia="仿宋_GB2312" w:cs="宋体"/>
          <w:kern w:val="0"/>
          <w:sz w:val="32"/>
          <w:szCs w:val="32"/>
        </w:rPr>
        <w:t>年度，我局未收到公民、法人或其他组织提出的政府信息公开申请，全年无依申请公开事项。同时，本年度未发生因政府信息公开工作而引发的行政复议案件及行政诉讼案件。</w:t>
      </w:r>
    </w:p>
    <w:p w14:paraId="20868216">
      <w:pPr>
        <w:widowControl/>
        <w:spacing w:line="560" w:lineRule="exact"/>
        <w:ind w:firstLine="634"/>
        <w:jc w:val="left"/>
        <w:rPr>
          <w:rFonts w:hint="eastAsia" w:ascii="仿宋_GB2312" w:hAnsi="Calibri" w:eastAsia="仿宋_GB2312" w:cs="宋体"/>
          <w:kern w:val="0"/>
          <w:sz w:val="32"/>
          <w:szCs w:val="32"/>
        </w:rPr>
      </w:pPr>
      <w:r>
        <w:rPr>
          <w:rFonts w:hint="eastAsia" w:ascii="楷体_GB2312" w:hAnsi="宋体" w:eastAsia="楷体_GB2312" w:cs="宋体"/>
          <w:kern w:val="0"/>
          <w:sz w:val="32"/>
          <w:szCs w:val="32"/>
        </w:rPr>
        <w:t>（三）政府信息管理情况。</w:t>
      </w:r>
      <w:r>
        <w:rPr>
          <w:rFonts w:hint="eastAsia" w:ascii="仿宋_GB2312" w:hAnsi="Calibri" w:eastAsia="仿宋_GB2312" w:cs="宋体"/>
          <w:kern w:val="0"/>
          <w:sz w:val="32"/>
          <w:szCs w:val="32"/>
        </w:rPr>
        <w:t>本年度，我局持续规范政府信息全过程管理，严格执行信息发布操作规范，健全信息发布审核机制</w:t>
      </w:r>
      <w:r>
        <w:rPr>
          <w:rFonts w:hint="eastAsia" w:ascii="仿宋_GB2312" w:hAnsi="Calibri" w:eastAsia="仿宋_GB2312" w:cs="宋体"/>
          <w:kern w:val="0"/>
          <w:sz w:val="32"/>
          <w:szCs w:val="32"/>
          <w:lang w:val="en-US" w:eastAsia="zh-CN"/>
        </w:rPr>
        <w:t>,</w:t>
      </w:r>
      <w:r>
        <w:rPr>
          <w:rFonts w:hint="eastAsia" w:ascii="仿宋_GB2312" w:hAnsi="Calibri" w:eastAsia="仿宋_GB2312" w:cs="宋体"/>
          <w:kern w:val="0"/>
          <w:sz w:val="32"/>
          <w:szCs w:val="32"/>
        </w:rPr>
        <w:t>所有公开事项均依据政务公开标准流程，经内容确认、合规审查后方予发布。严格落实政府网站信息发布程序，坚持“先审查、后公开”</w:t>
      </w:r>
      <w:r>
        <w:rPr>
          <w:rFonts w:hint="eastAsia" w:ascii="仿宋_GB2312" w:hAnsi="Calibri" w:eastAsia="仿宋_GB2312" w:cs="宋体"/>
          <w:kern w:val="0"/>
          <w:sz w:val="32"/>
          <w:szCs w:val="32"/>
          <w:lang w:eastAsia="zh-CN"/>
        </w:rPr>
        <w:t>、</w:t>
      </w:r>
      <w:r>
        <w:rPr>
          <w:rFonts w:hint="eastAsia" w:ascii="仿宋_GB2312" w:hAnsi="Calibri" w:eastAsia="仿宋_GB2312" w:cs="宋体"/>
          <w:kern w:val="0"/>
          <w:sz w:val="32"/>
          <w:szCs w:val="32"/>
        </w:rPr>
        <w:t>“一事一审”原则，从严开展保密审查，确保公开信息依法、准确、安全，切实做到“涉密信息不公开，公开信息不涉密”。</w:t>
      </w:r>
    </w:p>
    <w:p w14:paraId="44844796">
      <w:pPr>
        <w:widowControl/>
        <w:spacing w:line="560" w:lineRule="exact"/>
        <w:ind w:firstLine="634"/>
        <w:jc w:val="left"/>
        <w:rPr>
          <w:rFonts w:hint="eastAsia" w:ascii="仿宋_GB2312" w:hAnsi="宋体" w:eastAsia="仿宋_GB2312" w:cs="宋体"/>
          <w:kern w:val="0"/>
          <w:sz w:val="32"/>
          <w:szCs w:val="32"/>
        </w:rPr>
      </w:pPr>
      <w:r>
        <w:rPr>
          <w:rFonts w:hint="eastAsia" w:ascii="楷体_GB2312" w:hAnsi="宋体" w:eastAsia="楷体_GB2312" w:cs="宋体"/>
          <w:kern w:val="0"/>
          <w:sz w:val="32"/>
          <w:szCs w:val="32"/>
        </w:rPr>
        <w:t>（四）政府信息公开平台建设情况。</w:t>
      </w:r>
      <w:r>
        <w:rPr>
          <w:rFonts w:hint="eastAsia" w:ascii="仿宋_GB2312" w:hAnsi="宋体" w:eastAsia="仿宋_GB2312" w:cs="宋体"/>
          <w:kern w:val="0"/>
          <w:sz w:val="32"/>
          <w:szCs w:val="32"/>
        </w:rPr>
        <w:t>本年度，我局持续加强信息公开平台建设与运维，主要依托台儿庄区政府门户网站“政府信息公开”专栏作为主阵地，同步利用微信公众号等新媒体平台，有效提升信息公开的覆盖面和传播力。</w:t>
      </w:r>
    </w:p>
    <w:p w14:paraId="645841F6">
      <w:pPr>
        <w:widowControl/>
        <w:spacing w:line="560" w:lineRule="exact"/>
        <w:ind w:firstLine="634"/>
        <w:jc w:val="left"/>
        <w:rPr>
          <w:rFonts w:ascii="仿宋_GB2312" w:hAnsi="仿宋_GB2312" w:eastAsia="仿宋_GB2312" w:cs="仿宋_GB2312"/>
          <w:kern w:val="0"/>
          <w:sz w:val="32"/>
          <w:szCs w:val="32"/>
        </w:rPr>
      </w:pPr>
      <w:r>
        <w:rPr>
          <w:rFonts w:hint="eastAsia" w:ascii="楷体_GB2312" w:hAnsi="宋体" w:eastAsia="楷体_GB2312" w:cs="宋体"/>
          <w:kern w:val="0"/>
          <w:sz w:val="32"/>
          <w:szCs w:val="32"/>
        </w:rPr>
        <w:t>（五）监督保障情况。</w:t>
      </w:r>
      <w:r>
        <w:rPr>
          <w:rFonts w:hint="eastAsia" w:ascii="仿宋_GB2312" w:hAnsi="仿宋_GB2312" w:eastAsia="仿宋_GB2312" w:cs="仿宋_GB2312"/>
          <w:kern w:val="0"/>
          <w:sz w:val="32"/>
          <w:szCs w:val="32"/>
        </w:rPr>
        <w:t>一是强化组织领导，明确由一名副局长专项分管，局办公室统筹协调，各科室及局属单位协同落实，形成齐抓共管、分工明确的工作格局。二是注重能力建设，</w:t>
      </w:r>
      <w:r>
        <w:rPr>
          <w:rFonts w:hint="eastAsia" w:ascii="仿宋_GB2312" w:hAnsi="仿宋_GB2312" w:eastAsia="仿宋_GB2312" w:cs="仿宋_GB2312"/>
          <w:kern w:val="0"/>
          <w:sz w:val="32"/>
          <w:szCs w:val="32"/>
          <w:lang w:val="en-US" w:eastAsia="zh-CN"/>
        </w:rPr>
        <w:t>定期</w:t>
      </w:r>
      <w:r>
        <w:rPr>
          <w:rFonts w:hint="eastAsia" w:ascii="仿宋_GB2312" w:hAnsi="仿宋_GB2312" w:eastAsia="仿宋_GB2312" w:cs="仿宋_GB2312"/>
          <w:kern w:val="0"/>
          <w:sz w:val="32"/>
          <w:szCs w:val="32"/>
        </w:rPr>
        <w:t>开展政务公开业务培训，组织相关人员深入学习《中华人民共和国政府信息公开条例》及保密法律法规，增强政策把握能力和信息处理水平。三是严格监督检查，建立健全信息发布审核与定期检查机制，确保公开信息及时、准确、合规，切实保障公众知情权和监督权。</w:t>
      </w:r>
    </w:p>
    <w:p w14:paraId="5392BAB5">
      <w:pPr>
        <w:widowControl/>
        <w:spacing w:line="560" w:lineRule="exact"/>
        <w:ind w:firstLine="634"/>
        <w:jc w:val="left"/>
        <w:rPr>
          <w:rFonts w:ascii="宋体" w:hAnsi="宋体" w:eastAsia="宋体" w:cs="宋体"/>
          <w:kern w:val="0"/>
          <w:sz w:val="20"/>
          <w:szCs w:val="20"/>
        </w:rPr>
      </w:pPr>
      <w:r>
        <w:rPr>
          <w:rFonts w:hint="eastAsia" w:ascii="黑体" w:hAnsi="黑体" w:eastAsia="黑体" w:cs="宋体"/>
          <w:kern w:val="0"/>
          <w:sz w:val="32"/>
          <w:szCs w:val="32"/>
        </w:rPr>
        <w:t>二、主动公开政府信息情况</w:t>
      </w:r>
    </w:p>
    <w:tbl>
      <w:tblPr>
        <w:tblStyle w:val="3"/>
        <w:tblW w:w="8835"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75" w:type="dxa"/>
          <w:left w:w="150" w:type="dxa"/>
          <w:bottom w:w="75" w:type="dxa"/>
          <w:right w:w="150" w:type="dxa"/>
        </w:tblCellMar>
      </w:tblPr>
      <w:tblGrid>
        <w:gridCol w:w="2039"/>
        <w:gridCol w:w="2054"/>
        <w:gridCol w:w="2054"/>
        <w:gridCol w:w="2688"/>
      </w:tblGrid>
      <w:tr w14:paraId="2766AAD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45"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1FDC4662">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第二十条第（一）项</w:t>
            </w:r>
          </w:p>
        </w:tc>
      </w:tr>
      <w:tr w14:paraId="418A43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92CD6C7">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49373174">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本年制发件数</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59409C68">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本年废止件数</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380F2C64">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现行有效件数</w:t>
            </w:r>
          </w:p>
        </w:tc>
      </w:tr>
      <w:tr w14:paraId="31458B6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2B15A31">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规章</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27223DAF">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7C3D142">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72B192F1">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r>
      <w:tr w14:paraId="2729644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41D5CBEA">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行政规范性文件</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FE8654E">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072A59C8">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437A369">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r>
      <w:tr w14:paraId="0D27AB4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3E4490A3">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第二十条第（五）项</w:t>
            </w:r>
          </w:p>
        </w:tc>
      </w:tr>
      <w:tr w14:paraId="511D8CA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14CEA62E">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3A4702B5">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本年处理决定数量</w:t>
            </w:r>
          </w:p>
        </w:tc>
      </w:tr>
      <w:tr w14:paraId="21EB3B5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66EE3734">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行政许可</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08B67C34">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bookmarkStart w:id="10" w:name="_GoBack"/>
            <w:bookmarkEnd w:id="10"/>
          </w:p>
        </w:tc>
      </w:tr>
      <w:tr w14:paraId="0A25865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59DE769E">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第二十条第（六）项</w:t>
            </w:r>
          </w:p>
        </w:tc>
      </w:tr>
      <w:tr w14:paraId="69EB652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EEE1A6D">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5257495E">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本年处理决定数量</w:t>
            </w:r>
          </w:p>
        </w:tc>
      </w:tr>
      <w:tr w14:paraId="341537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42DEBE06">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A"/>
                <w:kern w:val="0"/>
                <w:sz w:val="20"/>
                <w:szCs w:val="20"/>
              </w:rPr>
              <w:t>行政处罚</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75962174">
            <w:pPr>
              <w:widowControl/>
              <w:spacing w:line="560" w:lineRule="exact"/>
              <w:jc w:val="center"/>
              <w:rPr>
                <w:rFonts w:hint="default" w:ascii="宋体"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27</w:t>
            </w:r>
          </w:p>
        </w:tc>
      </w:tr>
      <w:tr w14:paraId="637C27F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11A83A65">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A"/>
                <w:kern w:val="0"/>
                <w:sz w:val="20"/>
                <w:szCs w:val="20"/>
              </w:rPr>
              <w:t>行政强制</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4C2CCFE9">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A"/>
                <w:kern w:val="0"/>
                <w:sz w:val="20"/>
                <w:szCs w:val="20"/>
              </w:rPr>
              <w:t>0</w:t>
            </w:r>
          </w:p>
        </w:tc>
      </w:tr>
      <w:tr w14:paraId="793CBF6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688E5522">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第二十条第（八）项</w:t>
            </w:r>
          </w:p>
        </w:tc>
      </w:tr>
      <w:tr w14:paraId="62AD253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6" w:space="0"/>
              <w:right w:val="single" w:color="00000A" w:sz="8" w:space="0"/>
            </w:tcBorders>
            <w:shd w:val="clear" w:color="auto" w:fill="FFFFFF"/>
            <w:tcMar>
              <w:top w:w="0" w:type="dxa"/>
              <w:left w:w="115" w:type="dxa"/>
              <w:bottom w:w="0" w:type="dxa"/>
              <w:right w:w="115" w:type="dxa"/>
            </w:tcMar>
            <w:vAlign w:val="center"/>
          </w:tcPr>
          <w:p w14:paraId="378E4A1C">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56A1107B">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本年收费金额（单位：万元）</w:t>
            </w:r>
          </w:p>
        </w:tc>
      </w:tr>
      <w:tr w14:paraId="434634B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45" w:hRule="atLeast"/>
          <w:jc w:val="center"/>
        </w:trPr>
        <w:tc>
          <w:tcPr>
            <w:tcW w:w="1980" w:type="dxa"/>
            <w:tcBorders>
              <w:top w:val="single" w:color="00000A" w:sz="6" w:space="0"/>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5C30E408">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行政事业性收费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347E4F8D">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r>
    </w:tbl>
    <w:p w14:paraId="2E50661A">
      <w:pPr>
        <w:widowControl/>
        <w:spacing w:line="560" w:lineRule="exact"/>
        <w:ind w:firstLine="635"/>
        <w:jc w:val="left"/>
        <w:rPr>
          <w:rFonts w:ascii="黑体" w:hAnsi="黑体" w:eastAsia="黑体" w:cs="宋体"/>
          <w:kern w:val="0"/>
          <w:sz w:val="32"/>
          <w:szCs w:val="32"/>
        </w:rPr>
      </w:pPr>
      <w:r>
        <w:rPr>
          <w:rFonts w:hint="eastAsia" w:ascii="黑体" w:hAnsi="黑体" w:eastAsia="黑体" w:cs="宋体"/>
          <w:kern w:val="0"/>
          <w:sz w:val="32"/>
          <w:szCs w:val="32"/>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64F98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14:paraId="23AED80B">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351DCB4">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54" w:type="dxa"/>
            <w:gridSpan w:val="7"/>
            <w:shd w:val="clear" w:color="auto" w:fill="auto"/>
            <w:tcMar>
              <w:left w:w="108" w:type="dxa"/>
              <w:right w:w="108" w:type="dxa"/>
            </w:tcMar>
            <w:vAlign w:val="center"/>
          </w:tcPr>
          <w:p w14:paraId="789108D9">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9542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14:paraId="018552F1">
            <w:pPr>
              <w:jc w:val="center"/>
              <w:rPr>
                <w:rFonts w:ascii="仿宋_GB2312" w:eastAsia="仿宋_GB2312"/>
                <w:szCs w:val="21"/>
              </w:rPr>
            </w:pPr>
          </w:p>
        </w:tc>
        <w:tc>
          <w:tcPr>
            <w:tcW w:w="752" w:type="dxa"/>
            <w:vMerge w:val="restart"/>
            <w:shd w:val="clear" w:color="auto" w:fill="auto"/>
            <w:tcMar>
              <w:left w:w="108" w:type="dxa"/>
              <w:right w:w="108" w:type="dxa"/>
            </w:tcMar>
            <w:vAlign w:val="center"/>
          </w:tcPr>
          <w:p w14:paraId="799B209C">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shd w:val="clear" w:color="auto" w:fill="auto"/>
            <w:tcMar>
              <w:left w:w="108" w:type="dxa"/>
              <w:right w:w="108" w:type="dxa"/>
            </w:tcMar>
            <w:vAlign w:val="center"/>
          </w:tcPr>
          <w:p w14:paraId="374A1137">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4F3809F2">
            <w:pPr>
              <w:widowControl/>
              <w:jc w:val="center"/>
              <w:rPr>
                <w:rFonts w:ascii="黑体" w:hAnsi="黑体" w:eastAsia="黑体"/>
                <w:szCs w:val="21"/>
              </w:rPr>
            </w:pPr>
            <w:r>
              <w:rPr>
                <w:rFonts w:hint="eastAsia" w:ascii="黑体" w:hAnsi="黑体" w:eastAsia="黑体"/>
                <w:kern w:val="0"/>
                <w:szCs w:val="21"/>
              </w:rPr>
              <w:t>总计</w:t>
            </w:r>
          </w:p>
        </w:tc>
      </w:tr>
      <w:tr w14:paraId="69219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14:paraId="7E6C9CBF">
            <w:pPr>
              <w:jc w:val="center"/>
              <w:rPr>
                <w:rFonts w:ascii="仿宋_GB2312" w:eastAsia="仿宋_GB2312"/>
                <w:szCs w:val="21"/>
              </w:rPr>
            </w:pPr>
          </w:p>
        </w:tc>
        <w:tc>
          <w:tcPr>
            <w:tcW w:w="752" w:type="dxa"/>
            <w:vMerge w:val="continue"/>
            <w:shd w:val="clear" w:color="auto" w:fill="auto"/>
            <w:tcMar>
              <w:left w:w="108" w:type="dxa"/>
              <w:right w:w="108" w:type="dxa"/>
            </w:tcMar>
            <w:vAlign w:val="center"/>
          </w:tcPr>
          <w:p w14:paraId="3F8E07CD">
            <w:pPr>
              <w:jc w:val="center"/>
              <w:rPr>
                <w:rFonts w:ascii="黑体" w:hAnsi="黑体" w:eastAsia="黑体"/>
                <w:szCs w:val="21"/>
              </w:rPr>
            </w:pPr>
          </w:p>
        </w:tc>
        <w:tc>
          <w:tcPr>
            <w:tcW w:w="540" w:type="dxa"/>
            <w:shd w:val="clear" w:color="auto" w:fill="auto"/>
            <w:tcMar>
              <w:left w:w="108" w:type="dxa"/>
              <w:right w:w="108" w:type="dxa"/>
            </w:tcMar>
            <w:vAlign w:val="center"/>
          </w:tcPr>
          <w:p w14:paraId="1CB815FD">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464615B9">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7BAE73D1">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90E6CD4">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6" w:type="dxa"/>
            <w:shd w:val="clear" w:color="auto" w:fill="auto"/>
            <w:tcMar>
              <w:left w:w="108" w:type="dxa"/>
              <w:right w:w="108" w:type="dxa"/>
            </w:tcMar>
            <w:vAlign w:val="center"/>
          </w:tcPr>
          <w:p w14:paraId="37F5D278">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44498161">
            <w:pPr>
              <w:jc w:val="center"/>
              <w:rPr>
                <w:rFonts w:ascii="仿宋_GB2312" w:eastAsia="仿宋_GB2312"/>
                <w:szCs w:val="21"/>
              </w:rPr>
            </w:pPr>
          </w:p>
        </w:tc>
      </w:tr>
      <w:tr w14:paraId="48033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7D51495B">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52" w:type="dxa"/>
            <w:shd w:val="clear" w:color="auto" w:fill="auto"/>
            <w:tcMar>
              <w:left w:w="108" w:type="dxa"/>
              <w:right w:w="108" w:type="dxa"/>
            </w:tcMar>
            <w:vAlign w:val="center"/>
          </w:tcPr>
          <w:p w14:paraId="19DF59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34A3D3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42CF0B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C9E1FA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1C075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6C85995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0FE996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E7EA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13732679">
            <w:pPr>
              <w:widowControl/>
              <w:rPr>
                <w:rFonts w:ascii="黑体" w:hAnsi="黑体" w:eastAsia="黑体"/>
                <w:szCs w:val="21"/>
              </w:rPr>
            </w:pPr>
            <w:r>
              <w:rPr>
                <w:rFonts w:hint="eastAsia" w:ascii="黑体" w:hAnsi="黑体" w:eastAsia="黑体"/>
                <w:kern w:val="0"/>
                <w:szCs w:val="21"/>
              </w:rPr>
              <w:t>二、上年结转政府信息公开申请数量</w:t>
            </w:r>
          </w:p>
        </w:tc>
        <w:tc>
          <w:tcPr>
            <w:tcW w:w="752" w:type="dxa"/>
            <w:shd w:val="clear" w:color="auto" w:fill="auto"/>
            <w:tcMar>
              <w:left w:w="108" w:type="dxa"/>
              <w:right w:w="108" w:type="dxa"/>
            </w:tcMar>
            <w:vAlign w:val="center"/>
          </w:tcPr>
          <w:p w14:paraId="305E399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812BD8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868C3C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47449B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1396E6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AE835D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565D66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83BB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14:paraId="2E414C9F">
            <w:pPr>
              <w:widowControl/>
              <w:spacing w:after="180"/>
              <w:rPr>
                <w:rFonts w:ascii="黑体" w:hAnsi="黑体" w:eastAsia="黑体"/>
                <w:szCs w:val="21"/>
              </w:rPr>
            </w:pPr>
            <w:r>
              <w:rPr>
                <w:rFonts w:hint="eastAsia" w:ascii="黑体" w:hAnsi="黑体" w:eastAsia="黑体"/>
                <w:kern w:val="0"/>
                <w:szCs w:val="21"/>
              </w:rPr>
              <w:t>三、本年度办理结果</w:t>
            </w:r>
          </w:p>
        </w:tc>
        <w:tc>
          <w:tcPr>
            <w:tcW w:w="4672" w:type="dxa"/>
            <w:gridSpan w:val="2"/>
            <w:shd w:val="clear" w:color="auto" w:fill="auto"/>
            <w:tcMar>
              <w:left w:w="108" w:type="dxa"/>
              <w:right w:w="108" w:type="dxa"/>
            </w:tcMar>
            <w:vAlign w:val="center"/>
          </w:tcPr>
          <w:p w14:paraId="1F0C95AC">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14DB6E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51261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FD91BE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4F753C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B9519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26A79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A65889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65A2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2DED501">
            <w:pPr>
              <w:rPr>
                <w:rFonts w:ascii="黑体" w:hAnsi="黑体" w:eastAsia="黑体"/>
                <w:szCs w:val="21"/>
              </w:rPr>
            </w:pPr>
          </w:p>
        </w:tc>
        <w:tc>
          <w:tcPr>
            <w:tcW w:w="4672" w:type="dxa"/>
            <w:gridSpan w:val="2"/>
            <w:shd w:val="clear" w:color="auto" w:fill="auto"/>
            <w:tcMar>
              <w:left w:w="108" w:type="dxa"/>
              <w:right w:w="108" w:type="dxa"/>
            </w:tcMar>
            <w:vAlign w:val="center"/>
          </w:tcPr>
          <w:p w14:paraId="796A961A">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3BD8915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CDFEF9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88ED1F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62408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B27C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462F4F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094B05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5AF5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EF15E51">
            <w:pPr>
              <w:rPr>
                <w:rFonts w:ascii="黑体" w:hAnsi="黑体" w:eastAsia="黑体"/>
                <w:szCs w:val="21"/>
              </w:rPr>
            </w:pPr>
          </w:p>
        </w:tc>
        <w:tc>
          <w:tcPr>
            <w:tcW w:w="1699" w:type="dxa"/>
            <w:vMerge w:val="restart"/>
            <w:shd w:val="clear" w:color="auto" w:fill="auto"/>
            <w:tcMar>
              <w:left w:w="108" w:type="dxa"/>
              <w:right w:w="108" w:type="dxa"/>
            </w:tcMar>
            <w:vAlign w:val="center"/>
          </w:tcPr>
          <w:p w14:paraId="6E1FD70D">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3" w:type="dxa"/>
            <w:shd w:val="clear" w:color="auto" w:fill="auto"/>
            <w:tcMar>
              <w:left w:w="108" w:type="dxa"/>
              <w:right w:w="108" w:type="dxa"/>
            </w:tcMar>
            <w:vAlign w:val="center"/>
          </w:tcPr>
          <w:p w14:paraId="34D6075C">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shd w:val="clear" w:color="auto" w:fill="auto"/>
            <w:tcMar>
              <w:left w:w="108" w:type="dxa"/>
              <w:right w:w="108" w:type="dxa"/>
            </w:tcMar>
            <w:vAlign w:val="center"/>
          </w:tcPr>
          <w:p w14:paraId="1528AD6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509AB3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14B05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976CA2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EB085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5C6B82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8BEC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59A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B7D7DF7">
            <w:pPr>
              <w:rPr>
                <w:rFonts w:ascii="黑体" w:hAnsi="黑体" w:eastAsia="黑体"/>
                <w:szCs w:val="21"/>
              </w:rPr>
            </w:pPr>
          </w:p>
        </w:tc>
        <w:tc>
          <w:tcPr>
            <w:tcW w:w="1699" w:type="dxa"/>
            <w:vMerge w:val="continue"/>
            <w:shd w:val="clear" w:color="auto" w:fill="auto"/>
            <w:tcMar>
              <w:left w:w="108" w:type="dxa"/>
              <w:right w:w="108" w:type="dxa"/>
            </w:tcMar>
            <w:vAlign w:val="center"/>
          </w:tcPr>
          <w:p w14:paraId="1F7B1186">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0C23A7AD">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52" w:type="dxa"/>
            <w:shd w:val="clear" w:color="auto" w:fill="auto"/>
            <w:tcMar>
              <w:left w:w="108" w:type="dxa"/>
              <w:right w:w="108" w:type="dxa"/>
            </w:tcMar>
            <w:vAlign w:val="center"/>
          </w:tcPr>
          <w:p w14:paraId="2081846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96632A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C12824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CDE8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F3996D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0AFAB0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5EA621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4E4A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02DDEE0">
            <w:pPr>
              <w:rPr>
                <w:rFonts w:ascii="黑体" w:hAnsi="黑体" w:eastAsia="黑体"/>
                <w:szCs w:val="21"/>
              </w:rPr>
            </w:pPr>
          </w:p>
        </w:tc>
        <w:tc>
          <w:tcPr>
            <w:tcW w:w="1699" w:type="dxa"/>
            <w:vMerge w:val="continue"/>
            <w:shd w:val="clear" w:color="auto" w:fill="auto"/>
            <w:tcMar>
              <w:left w:w="108" w:type="dxa"/>
              <w:right w:w="108" w:type="dxa"/>
            </w:tcMar>
            <w:vAlign w:val="center"/>
          </w:tcPr>
          <w:p w14:paraId="0636432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13D6CF2F">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shd w:val="clear" w:color="auto" w:fill="auto"/>
            <w:tcMar>
              <w:left w:w="108" w:type="dxa"/>
              <w:right w:w="108" w:type="dxa"/>
            </w:tcMar>
            <w:vAlign w:val="center"/>
          </w:tcPr>
          <w:p w14:paraId="490E7F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A15C58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4CEE7D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26E284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6A48C1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8ED4CB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8C6E72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F4C1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A891157">
            <w:pPr>
              <w:rPr>
                <w:rFonts w:ascii="黑体" w:hAnsi="黑体" w:eastAsia="黑体"/>
                <w:szCs w:val="21"/>
              </w:rPr>
            </w:pPr>
          </w:p>
        </w:tc>
        <w:tc>
          <w:tcPr>
            <w:tcW w:w="1699" w:type="dxa"/>
            <w:vMerge w:val="continue"/>
            <w:shd w:val="clear" w:color="auto" w:fill="auto"/>
            <w:tcMar>
              <w:left w:w="108" w:type="dxa"/>
              <w:right w:w="108" w:type="dxa"/>
            </w:tcMar>
            <w:vAlign w:val="center"/>
          </w:tcPr>
          <w:p w14:paraId="7145CF2F">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CD7B734">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52" w:type="dxa"/>
            <w:shd w:val="clear" w:color="auto" w:fill="auto"/>
            <w:tcMar>
              <w:left w:w="108" w:type="dxa"/>
              <w:right w:w="108" w:type="dxa"/>
            </w:tcMar>
            <w:vAlign w:val="center"/>
          </w:tcPr>
          <w:p w14:paraId="6BFC861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C2B098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DF13E5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67CE2E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175535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C65BA4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DC7A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B217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4AE16FF">
            <w:pPr>
              <w:rPr>
                <w:rFonts w:ascii="黑体" w:hAnsi="黑体" w:eastAsia="黑体"/>
                <w:szCs w:val="21"/>
              </w:rPr>
            </w:pPr>
          </w:p>
        </w:tc>
        <w:tc>
          <w:tcPr>
            <w:tcW w:w="1699" w:type="dxa"/>
            <w:vMerge w:val="continue"/>
            <w:shd w:val="clear" w:color="auto" w:fill="auto"/>
            <w:tcMar>
              <w:left w:w="108" w:type="dxa"/>
              <w:right w:w="108" w:type="dxa"/>
            </w:tcMar>
            <w:vAlign w:val="center"/>
          </w:tcPr>
          <w:p w14:paraId="6CB1F4DB">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7F250100">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shd w:val="clear" w:color="auto" w:fill="auto"/>
            <w:tcMar>
              <w:left w:w="108" w:type="dxa"/>
              <w:right w:w="108" w:type="dxa"/>
            </w:tcMar>
            <w:vAlign w:val="center"/>
          </w:tcPr>
          <w:p w14:paraId="4D07C62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78D2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FFBFCE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E1301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1FF3CA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66CEB5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60F17C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0581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56656F9">
            <w:pPr>
              <w:rPr>
                <w:rFonts w:ascii="黑体" w:hAnsi="黑体" w:eastAsia="黑体"/>
                <w:szCs w:val="21"/>
              </w:rPr>
            </w:pPr>
          </w:p>
        </w:tc>
        <w:tc>
          <w:tcPr>
            <w:tcW w:w="1699" w:type="dxa"/>
            <w:vMerge w:val="continue"/>
            <w:shd w:val="clear" w:color="auto" w:fill="auto"/>
            <w:tcMar>
              <w:left w:w="108" w:type="dxa"/>
              <w:right w:w="108" w:type="dxa"/>
            </w:tcMar>
            <w:vAlign w:val="center"/>
          </w:tcPr>
          <w:p w14:paraId="4FADCC69">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FAEBA9B">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52" w:type="dxa"/>
            <w:shd w:val="clear" w:color="auto" w:fill="auto"/>
            <w:tcMar>
              <w:left w:w="108" w:type="dxa"/>
              <w:right w:w="108" w:type="dxa"/>
            </w:tcMar>
            <w:vAlign w:val="center"/>
          </w:tcPr>
          <w:p w14:paraId="1C95A7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9DB107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AD4F48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638FEF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972B6B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DEEB3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EB5B80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A6B5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1C71B40">
            <w:pPr>
              <w:rPr>
                <w:rFonts w:ascii="黑体" w:hAnsi="黑体" w:eastAsia="黑体"/>
                <w:szCs w:val="21"/>
              </w:rPr>
            </w:pPr>
          </w:p>
        </w:tc>
        <w:tc>
          <w:tcPr>
            <w:tcW w:w="1699" w:type="dxa"/>
            <w:vMerge w:val="continue"/>
            <w:shd w:val="clear" w:color="auto" w:fill="auto"/>
            <w:tcMar>
              <w:left w:w="108" w:type="dxa"/>
              <w:right w:w="108" w:type="dxa"/>
            </w:tcMar>
            <w:vAlign w:val="center"/>
          </w:tcPr>
          <w:p w14:paraId="1BE34620">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01AF5AC">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shd w:val="clear" w:color="auto" w:fill="auto"/>
            <w:tcMar>
              <w:left w:w="108" w:type="dxa"/>
              <w:right w:w="108" w:type="dxa"/>
            </w:tcMar>
            <w:vAlign w:val="center"/>
          </w:tcPr>
          <w:p w14:paraId="2871EF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757E3A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B240E9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4CB61D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6238733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949440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2FF961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B3C6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DC5B816">
            <w:pPr>
              <w:rPr>
                <w:rFonts w:ascii="黑体" w:hAnsi="黑体" w:eastAsia="黑体"/>
                <w:szCs w:val="21"/>
              </w:rPr>
            </w:pPr>
          </w:p>
        </w:tc>
        <w:tc>
          <w:tcPr>
            <w:tcW w:w="1699" w:type="dxa"/>
            <w:vMerge w:val="continue"/>
            <w:shd w:val="clear" w:color="auto" w:fill="auto"/>
            <w:tcMar>
              <w:left w:w="108" w:type="dxa"/>
              <w:right w:w="108" w:type="dxa"/>
            </w:tcMar>
            <w:vAlign w:val="center"/>
          </w:tcPr>
          <w:p w14:paraId="3E9D8973">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479D9DD2">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52" w:type="dxa"/>
            <w:shd w:val="clear" w:color="auto" w:fill="auto"/>
            <w:tcMar>
              <w:left w:w="108" w:type="dxa"/>
              <w:right w:w="108" w:type="dxa"/>
            </w:tcMar>
            <w:vAlign w:val="center"/>
          </w:tcPr>
          <w:p w14:paraId="214E651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4D4E5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A9F78B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EEB884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328B0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7D32A9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CCC0D9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21FE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BD61293">
            <w:pPr>
              <w:rPr>
                <w:rFonts w:ascii="黑体" w:hAnsi="黑体" w:eastAsia="黑体"/>
                <w:szCs w:val="21"/>
              </w:rPr>
            </w:pPr>
          </w:p>
        </w:tc>
        <w:tc>
          <w:tcPr>
            <w:tcW w:w="1699" w:type="dxa"/>
            <w:vMerge w:val="restart"/>
            <w:shd w:val="clear" w:color="auto" w:fill="auto"/>
            <w:tcMar>
              <w:left w:w="108" w:type="dxa"/>
              <w:right w:w="108" w:type="dxa"/>
            </w:tcMar>
            <w:vAlign w:val="center"/>
          </w:tcPr>
          <w:p w14:paraId="227E6414">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3" w:type="dxa"/>
            <w:shd w:val="clear" w:color="auto" w:fill="auto"/>
            <w:tcMar>
              <w:left w:w="108" w:type="dxa"/>
              <w:right w:w="108" w:type="dxa"/>
            </w:tcMar>
            <w:vAlign w:val="center"/>
          </w:tcPr>
          <w:p w14:paraId="508A0A84">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shd w:val="clear" w:color="auto" w:fill="auto"/>
            <w:tcMar>
              <w:left w:w="108" w:type="dxa"/>
              <w:right w:w="108" w:type="dxa"/>
            </w:tcMar>
            <w:vAlign w:val="center"/>
          </w:tcPr>
          <w:p w14:paraId="628C1B8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632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A26171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3B71F7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E40DE9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442497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4E615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7DC6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71A43A5">
            <w:pPr>
              <w:rPr>
                <w:rFonts w:ascii="黑体" w:hAnsi="黑体" w:eastAsia="黑体"/>
                <w:szCs w:val="21"/>
              </w:rPr>
            </w:pPr>
          </w:p>
        </w:tc>
        <w:tc>
          <w:tcPr>
            <w:tcW w:w="1699" w:type="dxa"/>
            <w:vMerge w:val="continue"/>
            <w:shd w:val="clear" w:color="auto" w:fill="auto"/>
            <w:tcMar>
              <w:left w:w="108" w:type="dxa"/>
              <w:right w:w="108" w:type="dxa"/>
            </w:tcMar>
            <w:vAlign w:val="center"/>
          </w:tcPr>
          <w:p w14:paraId="18BCF176">
            <w:pPr>
              <w:spacing w:line="200" w:lineRule="exact"/>
              <w:ind w:left="-107" w:leftChars="-51"/>
              <w:rPr>
                <w:rFonts w:ascii="黑体" w:hAnsi="黑体" w:eastAsia="黑体"/>
                <w:szCs w:val="21"/>
              </w:rPr>
            </w:pPr>
          </w:p>
        </w:tc>
        <w:tc>
          <w:tcPr>
            <w:tcW w:w="2973" w:type="dxa"/>
            <w:shd w:val="clear" w:color="auto" w:fill="auto"/>
            <w:tcMar>
              <w:left w:w="108" w:type="dxa"/>
              <w:right w:w="108" w:type="dxa"/>
            </w:tcMar>
            <w:vAlign w:val="center"/>
          </w:tcPr>
          <w:p w14:paraId="1C49A243">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52" w:type="dxa"/>
            <w:shd w:val="clear" w:color="auto" w:fill="auto"/>
            <w:tcMar>
              <w:left w:w="108" w:type="dxa"/>
              <w:right w:w="108" w:type="dxa"/>
            </w:tcMar>
            <w:vAlign w:val="center"/>
          </w:tcPr>
          <w:p w14:paraId="0D1B841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A665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EF8394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BCAEB2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CB4DD8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C1D710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2898DF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D5E7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5184F3E">
            <w:pPr>
              <w:rPr>
                <w:rFonts w:ascii="黑体" w:hAnsi="黑体" w:eastAsia="黑体"/>
                <w:szCs w:val="21"/>
              </w:rPr>
            </w:pPr>
          </w:p>
        </w:tc>
        <w:tc>
          <w:tcPr>
            <w:tcW w:w="1699" w:type="dxa"/>
            <w:vMerge w:val="continue"/>
            <w:shd w:val="clear" w:color="auto" w:fill="auto"/>
            <w:tcMar>
              <w:left w:w="108" w:type="dxa"/>
              <w:right w:w="108" w:type="dxa"/>
            </w:tcMar>
            <w:vAlign w:val="center"/>
          </w:tcPr>
          <w:p w14:paraId="2DA1F316">
            <w:pPr>
              <w:spacing w:line="200" w:lineRule="exact"/>
              <w:ind w:left="-107" w:leftChars="-51"/>
              <w:rPr>
                <w:rFonts w:ascii="黑体" w:hAnsi="黑体" w:eastAsia="黑体"/>
                <w:szCs w:val="21"/>
              </w:rPr>
            </w:pPr>
          </w:p>
        </w:tc>
        <w:tc>
          <w:tcPr>
            <w:tcW w:w="2973" w:type="dxa"/>
            <w:shd w:val="clear" w:color="auto" w:fill="auto"/>
            <w:tcMar>
              <w:left w:w="108" w:type="dxa"/>
              <w:right w:w="108" w:type="dxa"/>
            </w:tcMar>
            <w:vAlign w:val="center"/>
          </w:tcPr>
          <w:p w14:paraId="65BAAAF1">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52" w:type="dxa"/>
            <w:shd w:val="clear" w:color="auto" w:fill="auto"/>
            <w:tcMar>
              <w:left w:w="108" w:type="dxa"/>
              <w:right w:w="108" w:type="dxa"/>
            </w:tcMar>
            <w:vAlign w:val="center"/>
          </w:tcPr>
          <w:p w14:paraId="378895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FCDDE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1F9087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AAF375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AB9CD0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256539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DAF278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EA5B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4FCE14C5">
            <w:pPr>
              <w:rPr>
                <w:rFonts w:ascii="黑体" w:hAnsi="黑体" w:eastAsia="黑体"/>
                <w:szCs w:val="21"/>
              </w:rPr>
            </w:pPr>
          </w:p>
        </w:tc>
        <w:tc>
          <w:tcPr>
            <w:tcW w:w="1699" w:type="dxa"/>
            <w:vMerge w:val="restart"/>
            <w:shd w:val="clear" w:color="auto" w:fill="auto"/>
            <w:tcMar>
              <w:left w:w="108" w:type="dxa"/>
              <w:right w:w="108" w:type="dxa"/>
            </w:tcMar>
            <w:vAlign w:val="center"/>
          </w:tcPr>
          <w:p w14:paraId="6DB2176A">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3" w:type="dxa"/>
            <w:shd w:val="clear" w:color="auto" w:fill="auto"/>
            <w:tcMar>
              <w:left w:w="108" w:type="dxa"/>
              <w:right w:w="108" w:type="dxa"/>
            </w:tcMar>
            <w:vAlign w:val="center"/>
          </w:tcPr>
          <w:p w14:paraId="189F65D6">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52" w:type="dxa"/>
            <w:shd w:val="clear" w:color="auto" w:fill="auto"/>
            <w:tcMar>
              <w:left w:w="108" w:type="dxa"/>
              <w:right w:w="108" w:type="dxa"/>
            </w:tcMar>
            <w:vAlign w:val="center"/>
          </w:tcPr>
          <w:p w14:paraId="1AF997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6C8409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CD1B9A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7F3785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8CC49E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AD1B3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523CA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F2E0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1823BA2">
            <w:pPr>
              <w:rPr>
                <w:rFonts w:ascii="黑体" w:hAnsi="黑体" w:eastAsia="黑体"/>
                <w:szCs w:val="21"/>
              </w:rPr>
            </w:pPr>
          </w:p>
        </w:tc>
        <w:tc>
          <w:tcPr>
            <w:tcW w:w="1699" w:type="dxa"/>
            <w:vMerge w:val="continue"/>
            <w:shd w:val="clear" w:color="auto" w:fill="auto"/>
            <w:tcMar>
              <w:left w:w="108" w:type="dxa"/>
              <w:right w:w="108" w:type="dxa"/>
            </w:tcMar>
            <w:vAlign w:val="center"/>
          </w:tcPr>
          <w:p w14:paraId="7E6378D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96EB84B">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shd w:val="clear" w:color="auto" w:fill="auto"/>
            <w:tcMar>
              <w:left w:w="108" w:type="dxa"/>
              <w:right w:w="108" w:type="dxa"/>
            </w:tcMar>
            <w:vAlign w:val="center"/>
          </w:tcPr>
          <w:p w14:paraId="074C6E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8ADC0C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0EF47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A100E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986C3D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4B12B7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B6F9F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0F73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8C7DFD0">
            <w:pPr>
              <w:rPr>
                <w:rFonts w:ascii="黑体" w:hAnsi="黑体" w:eastAsia="黑体"/>
                <w:szCs w:val="21"/>
              </w:rPr>
            </w:pPr>
          </w:p>
        </w:tc>
        <w:tc>
          <w:tcPr>
            <w:tcW w:w="1699" w:type="dxa"/>
            <w:vMerge w:val="continue"/>
            <w:shd w:val="clear" w:color="auto" w:fill="auto"/>
            <w:tcMar>
              <w:left w:w="108" w:type="dxa"/>
              <w:right w:w="108" w:type="dxa"/>
            </w:tcMar>
            <w:vAlign w:val="center"/>
          </w:tcPr>
          <w:p w14:paraId="2EACB08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DBF966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shd w:val="clear" w:color="auto" w:fill="auto"/>
            <w:tcMar>
              <w:left w:w="108" w:type="dxa"/>
              <w:right w:w="108" w:type="dxa"/>
            </w:tcMar>
            <w:vAlign w:val="center"/>
          </w:tcPr>
          <w:p w14:paraId="66014A3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09ACE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4045BE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5D2A3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6E55982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7A6AFFF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44D18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5B5C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592B3317">
            <w:pPr>
              <w:rPr>
                <w:rFonts w:ascii="黑体" w:hAnsi="黑体" w:eastAsia="黑体"/>
                <w:szCs w:val="21"/>
              </w:rPr>
            </w:pPr>
          </w:p>
        </w:tc>
        <w:tc>
          <w:tcPr>
            <w:tcW w:w="1699" w:type="dxa"/>
            <w:vMerge w:val="continue"/>
            <w:shd w:val="clear" w:color="auto" w:fill="auto"/>
            <w:tcMar>
              <w:left w:w="108" w:type="dxa"/>
              <w:right w:w="108" w:type="dxa"/>
            </w:tcMar>
            <w:vAlign w:val="center"/>
          </w:tcPr>
          <w:p w14:paraId="30FE0D49">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7302322E">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shd w:val="clear" w:color="auto" w:fill="auto"/>
            <w:tcMar>
              <w:left w:w="108" w:type="dxa"/>
              <w:right w:w="108" w:type="dxa"/>
            </w:tcMar>
            <w:vAlign w:val="center"/>
          </w:tcPr>
          <w:p w14:paraId="3BBC14D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011F6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70AF0D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4D639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0AEE9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74AAE9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156C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3DB5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C14B96D">
            <w:pPr>
              <w:rPr>
                <w:rFonts w:ascii="黑体" w:hAnsi="黑体" w:eastAsia="黑体"/>
                <w:szCs w:val="21"/>
              </w:rPr>
            </w:pPr>
          </w:p>
        </w:tc>
        <w:tc>
          <w:tcPr>
            <w:tcW w:w="1699" w:type="dxa"/>
            <w:vMerge w:val="continue"/>
            <w:shd w:val="clear" w:color="auto" w:fill="auto"/>
            <w:tcMar>
              <w:left w:w="108" w:type="dxa"/>
              <w:right w:w="108" w:type="dxa"/>
            </w:tcMar>
            <w:vAlign w:val="center"/>
          </w:tcPr>
          <w:p w14:paraId="22974F54">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04D1D109">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7B5C3D88">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52" w:type="dxa"/>
            <w:shd w:val="clear" w:color="auto" w:fill="auto"/>
            <w:tcMar>
              <w:left w:w="108" w:type="dxa"/>
              <w:right w:w="108" w:type="dxa"/>
            </w:tcMar>
            <w:vAlign w:val="center"/>
          </w:tcPr>
          <w:p w14:paraId="0AA8CE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BED2AB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027021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0EA40B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1D54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7D2B71B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8E45C1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E7F1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B619AE8">
            <w:pPr>
              <w:rPr>
                <w:rFonts w:ascii="黑体" w:hAnsi="黑体" w:eastAsia="黑体"/>
                <w:szCs w:val="21"/>
              </w:rPr>
            </w:pPr>
          </w:p>
        </w:tc>
        <w:tc>
          <w:tcPr>
            <w:tcW w:w="1699" w:type="dxa"/>
            <w:vMerge w:val="restart"/>
            <w:shd w:val="clear" w:color="auto" w:fill="auto"/>
            <w:tcMar>
              <w:left w:w="108" w:type="dxa"/>
              <w:right w:w="108" w:type="dxa"/>
            </w:tcMar>
            <w:vAlign w:val="center"/>
          </w:tcPr>
          <w:p w14:paraId="42844C01">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3" w:type="dxa"/>
            <w:shd w:val="clear" w:color="auto" w:fill="auto"/>
            <w:vAlign w:val="center"/>
          </w:tcPr>
          <w:p w14:paraId="264A926F">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52" w:type="dxa"/>
            <w:shd w:val="clear" w:color="auto" w:fill="auto"/>
            <w:tcMar>
              <w:left w:w="108" w:type="dxa"/>
              <w:right w:w="108" w:type="dxa"/>
            </w:tcMar>
            <w:vAlign w:val="center"/>
          </w:tcPr>
          <w:p w14:paraId="36A263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5B978A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CD7668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81794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55D4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645DD8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F7FEE5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AD5F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515A7DE">
            <w:pPr>
              <w:rPr>
                <w:rFonts w:ascii="黑体" w:hAnsi="黑体" w:eastAsia="黑体"/>
                <w:szCs w:val="21"/>
              </w:rPr>
            </w:pPr>
          </w:p>
        </w:tc>
        <w:tc>
          <w:tcPr>
            <w:tcW w:w="1699" w:type="dxa"/>
            <w:vMerge w:val="continue"/>
            <w:shd w:val="clear" w:color="auto" w:fill="auto"/>
            <w:tcMar>
              <w:left w:w="108" w:type="dxa"/>
              <w:right w:w="108" w:type="dxa"/>
            </w:tcMar>
            <w:vAlign w:val="center"/>
          </w:tcPr>
          <w:p w14:paraId="5588DC00">
            <w:pPr>
              <w:widowControl/>
              <w:spacing w:line="300" w:lineRule="exact"/>
              <w:rPr>
                <w:rFonts w:ascii="黑体" w:hAnsi="黑体" w:eastAsia="黑体"/>
                <w:kern w:val="0"/>
                <w:szCs w:val="21"/>
              </w:rPr>
            </w:pPr>
          </w:p>
        </w:tc>
        <w:tc>
          <w:tcPr>
            <w:tcW w:w="2973" w:type="dxa"/>
            <w:shd w:val="clear" w:color="auto" w:fill="auto"/>
            <w:vAlign w:val="center"/>
          </w:tcPr>
          <w:p w14:paraId="7FE95732">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46E1E26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0B4C31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BE78A6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2BE26E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CBE2B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EDA768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E900E8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61A7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21EFC63">
            <w:pPr>
              <w:rPr>
                <w:rFonts w:ascii="黑体" w:hAnsi="黑体" w:eastAsia="黑体"/>
                <w:szCs w:val="21"/>
              </w:rPr>
            </w:pPr>
          </w:p>
        </w:tc>
        <w:tc>
          <w:tcPr>
            <w:tcW w:w="1699" w:type="dxa"/>
            <w:vMerge w:val="continue"/>
            <w:shd w:val="clear" w:color="auto" w:fill="auto"/>
            <w:tcMar>
              <w:left w:w="108" w:type="dxa"/>
              <w:right w:w="108" w:type="dxa"/>
            </w:tcMar>
            <w:vAlign w:val="center"/>
          </w:tcPr>
          <w:p w14:paraId="763E17CD">
            <w:pPr>
              <w:widowControl/>
              <w:spacing w:line="300" w:lineRule="exact"/>
              <w:rPr>
                <w:rFonts w:ascii="黑体" w:hAnsi="黑体" w:eastAsia="黑体"/>
                <w:kern w:val="0"/>
                <w:szCs w:val="21"/>
              </w:rPr>
            </w:pPr>
          </w:p>
        </w:tc>
        <w:tc>
          <w:tcPr>
            <w:tcW w:w="2973" w:type="dxa"/>
            <w:shd w:val="clear" w:color="auto" w:fill="auto"/>
            <w:vAlign w:val="center"/>
          </w:tcPr>
          <w:p w14:paraId="1693DAC7">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52" w:type="dxa"/>
            <w:shd w:val="clear" w:color="auto" w:fill="auto"/>
            <w:tcMar>
              <w:left w:w="108" w:type="dxa"/>
              <w:right w:w="108" w:type="dxa"/>
            </w:tcMar>
            <w:vAlign w:val="center"/>
          </w:tcPr>
          <w:p w14:paraId="5E434B3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A9F13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8507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0F4C0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9CBACC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D63DA2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21A4D0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2F2E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47D624F">
            <w:pPr>
              <w:rPr>
                <w:rFonts w:ascii="黑体" w:hAnsi="黑体" w:eastAsia="黑体"/>
                <w:szCs w:val="21"/>
              </w:rPr>
            </w:pPr>
          </w:p>
        </w:tc>
        <w:tc>
          <w:tcPr>
            <w:tcW w:w="4672" w:type="dxa"/>
            <w:gridSpan w:val="2"/>
            <w:shd w:val="clear" w:color="auto" w:fill="auto"/>
            <w:tcMar>
              <w:left w:w="108" w:type="dxa"/>
              <w:right w:w="108" w:type="dxa"/>
            </w:tcMar>
            <w:vAlign w:val="center"/>
          </w:tcPr>
          <w:p w14:paraId="3EE06810">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52" w:type="dxa"/>
            <w:shd w:val="clear" w:color="auto" w:fill="auto"/>
            <w:tcMar>
              <w:left w:w="108" w:type="dxa"/>
              <w:right w:w="108" w:type="dxa"/>
            </w:tcMar>
            <w:vAlign w:val="center"/>
          </w:tcPr>
          <w:p w14:paraId="7F9DCF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7A21A9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4ED0E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0F884B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1A466F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3F34D0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091AAC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89DE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shd w:val="clear" w:color="auto" w:fill="auto"/>
            <w:tcMar>
              <w:left w:w="108" w:type="dxa"/>
              <w:right w:w="108" w:type="dxa"/>
            </w:tcMar>
            <w:vAlign w:val="center"/>
          </w:tcPr>
          <w:p w14:paraId="22543D64">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52" w:type="dxa"/>
            <w:shd w:val="clear" w:color="auto" w:fill="auto"/>
            <w:tcMar>
              <w:left w:w="108" w:type="dxa"/>
              <w:right w:w="108" w:type="dxa"/>
            </w:tcMar>
            <w:vAlign w:val="center"/>
          </w:tcPr>
          <w:p w14:paraId="48C4119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7B0232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C2C448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3C8BE6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E553BA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17CFA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18F18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bl>
    <w:p w14:paraId="4CACC1C3">
      <w:pPr>
        <w:widowControl/>
        <w:spacing w:line="560" w:lineRule="exact"/>
        <w:ind w:firstLine="634"/>
        <w:jc w:val="left"/>
        <w:rPr>
          <w:rFonts w:ascii="黑体" w:hAnsi="黑体" w:eastAsia="黑体" w:cs="宋体"/>
          <w:kern w:val="0"/>
          <w:sz w:val="32"/>
          <w:szCs w:val="32"/>
        </w:rPr>
      </w:pPr>
      <w:r>
        <w:rPr>
          <w:rFonts w:hint="eastAsia" w:ascii="黑体" w:hAnsi="黑体" w:eastAsia="黑体" w:cs="宋体"/>
          <w:kern w:val="0"/>
          <w:sz w:val="32"/>
          <w:szCs w:val="32"/>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1437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F7609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999CFC">
            <w:pPr>
              <w:widowControl/>
              <w:jc w:val="center"/>
              <w:rPr>
                <w:rFonts w:ascii="黑体" w:hAnsi="黑体" w:eastAsia="黑体"/>
              </w:rPr>
            </w:pPr>
            <w:r>
              <w:rPr>
                <w:rFonts w:ascii="黑体" w:hAnsi="黑体" w:eastAsia="黑体"/>
                <w:kern w:val="0"/>
                <w:sz w:val="20"/>
              </w:rPr>
              <w:t>行政诉讼</w:t>
            </w:r>
          </w:p>
        </w:tc>
      </w:tr>
      <w:tr w14:paraId="722AA9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4B88B4">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14:paraId="19DC4749">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D48D9A3">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17E85D">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9B9230">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14:paraId="6D90335D">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ABFEF3">
            <w:pPr>
              <w:widowControl/>
              <w:spacing w:line="320" w:lineRule="exact"/>
              <w:jc w:val="center"/>
              <w:rPr>
                <w:rFonts w:ascii="黑体" w:hAnsi="黑体" w:eastAsia="黑体"/>
                <w:kern w:val="0"/>
                <w:sz w:val="20"/>
              </w:rPr>
            </w:pPr>
            <w:r>
              <w:rPr>
                <w:rFonts w:ascii="黑体" w:hAnsi="黑体" w:eastAsia="黑体"/>
                <w:kern w:val="0"/>
                <w:sz w:val="20"/>
              </w:rPr>
              <w:t>总</w:t>
            </w:r>
          </w:p>
          <w:p w14:paraId="41FA97BA">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619EDC">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CF0DAD">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6C700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B63BB7">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7D0C85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EA8616">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43DF19">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E190BA">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6EA7993">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C53F825">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4D8B22">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14:paraId="44C34A6A">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77FD00">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14:paraId="23631C64">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D1F1DF">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0067E8">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28EF16">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14:paraId="61B2CC2A">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91F3ED">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14:paraId="225E8145">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C0ECD0">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39033E">
            <w:pPr>
              <w:widowControl/>
              <w:jc w:val="center"/>
              <w:rPr>
                <w:rFonts w:ascii="黑体" w:hAnsi="黑体" w:eastAsia="黑体"/>
              </w:rPr>
            </w:pPr>
            <w:r>
              <w:rPr>
                <w:rFonts w:ascii="黑体" w:hAnsi="黑体" w:eastAsia="黑体"/>
                <w:kern w:val="0"/>
                <w:sz w:val="20"/>
              </w:rPr>
              <w:t>总计</w:t>
            </w:r>
          </w:p>
        </w:tc>
      </w:tr>
      <w:tr w14:paraId="2A46CB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B8AFB7">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B96C668">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3AB5966">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1065CAD">
            <w:pPr>
              <w:widowControl/>
              <w:spacing w:after="180"/>
              <w:jc w:val="center"/>
            </w:pPr>
            <w:r>
              <w:rPr>
                <w:rFonts w:hint="eastAsia"/>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101BA2F4">
            <w:pPr>
              <w:widowControl/>
              <w:spacing w:after="180"/>
              <w:jc w:val="center"/>
            </w:pPr>
            <w:r>
              <w:rPr>
                <w:rFonts w:hint="eastAsia"/>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6F96E2D">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4B20254">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623622">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E3405C5">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46C355">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F8677AF">
            <w:pPr>
              <w:widowControl/>
              <w:spacing w:after="180"/>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0431120">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66586D9">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B9A20F0">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2067CF5">
            <w:pPr>
              <w:widowControl/>
              <w:spacing w:after="180"/>
              <w:jc w:val="center"/>
            </w:pPr>
            <w:r>
              <w:rPr>
                <w:rFonts w:hint="eastAsia"/>
              </w:rPr>
              <w:t>0</w:t>
            </w:r>
          </w:p>
        </w:tc>
      </w:tr>
    </w:tbl>
    <w:p w14:paraId="0AC9FC0A">
      <w:pPr>
        <w:widowControl/>
        <w:spacing w:line="560" w:lineRule="exact"/>
        <w:ind w:firstLine="634"/>
        <w:jc w:val="left"/>
        <w:rPr>
          <w:rFonts w:ascii="仿宋_GB2312" w:hAnsi="Calibri" w:eastAsia="仿宋_GB2312" w:cs="宋体"/>
          <w:kern w:val="0"/>
          <w:sz w:val="32"/>
          <w:szCs w:val="32"/>
        </w:rPr>
      </w:pPr>
      <w:r>
        <w:rPr>
          <w:rFonts w:hint="eastAsia" w:ascii="黑体" w:hAnsi="黑体" w:eastAsia="黑体" w:cs="宋体"/>
          <w:kern w:val="0"/>
          <w:sz w:val="32"/>
          <w:szCs w:val="32"/>
        </w:rPr>
        <w:t>五、存在的主要问题及改进情况</w:t>
      </w:r>
    </w:p>
    <w:p w14:paraId="4A7476B0">
      <w:pPr>
        <w:keepNext w:val="0"/>
        <w:keepLines w:val="0"/>
        <w:pageBreakBefore w:val="0"/>
        <w:widowControl/>
        <w:kinsoku/>
        <w:wordWrap/>
        <w:overflowPunct/>
        <w:topLinePunct w:val="0"/>
        <w:autoSpaceDE/>
        <w:autoSpaceDN/>
        <w:bidi w:val="0"/>
        <w:adjustRightInd/>
        <w:snapToGrid/>
        <w:spacing w:line="540" w:lineRule="exact"/>
        <w:ind w:firstLine="635"/>
        <w:jc w:val="lef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202</w:t>
      </w:r>
      <w:r>
        <w:rPr>
          <w:rFonts w:hint="eastAsia" w:ascii="仿宋_GB2312" w:hAnsi="Calibri" w:eastAsia="仿宋_GB2312" w:cs="宋体"/>
          <w:kern w:val="0"/>
          <w:sz w:val="32"/>
          <w:szCs w:val="32"/>
          <w:lang w:val="en-US" w:eastAsia="zh-CN"/>
        </w:rPr>
        <w:t>5</w:t>
      </w:r>
      <w:r>
        <w:rPr>
          <w:rFonts w:hint="eastAsia" w:ascii="仿宋_GB2312" w:hAnsi="Calibri" w:eastAsia="仿宋_GB2312" w:cs="宋体"/>
          <w:kern w:val="0"/>
          <w:sz w:val="32"/>
          <w:szCs w:val="32"/>
        </w:rPr>
        <w:t>年，我局持续推进政务公开工作，取得阶段性成效，但也清醒认识到工作中仍存在一些短板和不足。主要表现在：队伍建设有待夯实，部分人员业务能力与新时代政务公开要求尚有差距；信息发布时效性有待增强，重点领域公开内容有时存在延迟；公开渠道较为单一，宣传覆盖面和影响力仍需进一步拓展。下一步，我局将坚持问题导向，对标政务公开工作新部署、新要求，着力在以下方面持续改进：一是强化队伍建设，通过专题培训、业务交流等方式，提升工作人员政策水平和实操能力；二是优化发布机制，压实工作责任，确保政务信息及时、准确、规范公开；三是拓宽公开渠道，积极探索多元化传播方式，增强重点领域信息公开的覆盖面和可及性，不断提升政务公开工作质效和群众满意度。</w:t>
      </w:r>
    </w:p>
    <w:p w14:paraId="1F57BE16">
      <w:pPr>
        <w:keepNext w:val="0"/>
        <w:keepLines w:val="0"/>
        <w:pageBreakBefore w:val="0"/>
        <w:widowControl/>
        <w:kinsoku/>
        <w:wordWrap/>
        <w:overflowPunct/>
        <w:topLinePunct w:val="0"/>
        <w:autoSpaceDE/>
        <w:autoSpaceDN/>
        <w:bidi w:val="0"/>
        <w:adjustRightInd/>
        <w:snapToGrid/>
        <w:spacing w:line="540" w:lineRule="exact"/>
        <w:ind w:firstLine="635"/>
        <w:jc w:val="left"/>
        <w:textAlignment w:val="auto"/>
        <w:rPr>
          <w:rFonts w:ascii="宋体" w:hAnsi="宋体" w:eastAsia="宋体" w:cs="宋体"/>
          <w:kern w:val="0"/>
          <w:sz w:val="20"/>
          <w:szCs w:val="20"/>
        </w:rPr>
      </w:pPr>
      <w:r>
        <w:rPr>
          <w:rFonts w:hint="eastAsia" w:ascii="黑体" w:hAnsi="黑体" w:eastAsia="黑体" w:cs="宋体"/>
          <w:kern w:val="0"/>
          <w:sz w:val="32"/>
          <w:szCs w:val="32"/>
        </w:rPr>
        <w:t>六、其他需要报告的事项</w:t>
      </w:r>
    </w:p>
    <w:p w14:paraId="3BC3E34E">
      <w:pPr>
        <w:keepNext w:val="0"/>
        <w:keepLines w:val="0"/>
        <w:pageBreakBefore w:val="0"/>
        <w:widowControl/>
        <w:kinsoku/>
        <w:wordWrap/>
        <w:overflowPunct/>
        <w:topLinePunct w:val="0"/>
        <w:autoSpaceDE/>
        <w:autoSpaceDN/>
        <w:bidi w:val="0"/>
        <w:adjustRightInd/>
        <w:snapToGrid/>
        <w:spacing w:line="540" w:lineRule="exact"/>
        <w:ind w:firstLine="635"/>
        <w:jc w:val="left"/>
        <w:textAlignment w:val="auto"/>
        <w:rPr>
          <w:rFonts w:ascii="宋体" w:hAnsi="宋体" w:eastAsia="宋体" w:cs="宋体"/>
          <w:kern w:val="0"/>
          <w:sz w:val="20"/>
          <w:szCs w:val="20"/>
        </w:rPr>
      </w:pPr>
      <w:r>
        <w:rPr>
          <w:rFonts w:hint="eastAsia" w:ascii="楷体_GB2312" w:hAnsi="Calibri" w:eastAsia="楷体_GB2312" w:cs="宋体"/>
          <w:kern w:val="0"/>
          <w:sz w:val="32"/>
          <w:szCs w:val="32"/>
        </w:rPr>
        <w:t>1.</w:t>
      </w:r>
      <w:r>
        <w:rPr>
          <w:rFonts w:hint="eastAsia" w:ascii="楷体_GB2312" w:hAnsi="宋体" w:eastAsia="楷体_GB2312" w:cs="宋体"/>
          <w:kern w:val="0"/>
          <w:sz w:val="32"/>
          <w:szCs w:val="32"/>
        </w:rPr>
        <w:t>依据《政府信息公开信息处理费管理办法》收取信息处理费的情况：</w:t>
      </w:r>
      <w:r>
        <w:rPr>
          <w:rFonts w:hint="eastAsia" w:ascii="仿宋_GB2312" w:hAnsi="宋体" w:eastAsia="仿宋_GB2312" w:cs="宋体"/>
          <w:kern w:val="0"/>
          <w:sz w:val="32"/>
          <w:szCs w:val="32"/>
        </w:rPr>
        <w:t>无。</w:t>
      </w:r>
    </w:p>
    <w:p w14:paraId="103C298C">
      <w:pPr>
        <w:keepNext w:val="0"/>
        <w:keepLines w:val="0"/>
        <w:pageBreakBefore w:val="0"/>
        <w:widowControl/>
        <w:kinsoku/>
        <w:wordWrap/>
        <w:overflowPunct/>
        <w:topLinePunct w:val="0"/>
        <w:autoSpaceDE/>
        <w:autoSpaceDN/>
        <w:bidi w:val="0"/>
        <w:adjustRightInd/>
        <w:snapToGrid/>
        <w:spacing w:line="540" w:lineRule="exact"/>
        <w:ind w:firstLine="635"/>
        <w:jc w:val="left"/>
        <w:textAlignment w:val="auto"/>
        <w:rPr>
          <w:rFonts w:ascii="仿宋_GB2312" w:hAnsi="宋体" w:eastAsia="仿宋_GB2312" w:cs="宋体"/>
          <w:kern w:val="0"/>
          <w:sz w:val="32"/>
          <w:szCs w:val="32"/>
        </w:rPr>
      </w:pPr>
      <w:r>
        <w:rPr>
          <w:rFonts w:hint="eastAsia" w:ascii="楷体_GB2312" w:hAnsi="Calibri" w:eastAsia="楷体_GB2312" w:cs="宋体"/>
          <w:kern w:val="0"/>
          <w:sz w:val="32"/>
          <w:szCs w:val="32"/>
        </w:rPr>
        <w:t>2.</w:t>
      </w:r>
      <w:r>
        <w:rPr>
          <w:rFonts w:hint="eastAsia" w:ascii="楷体_GB2312" w:hAnsi="宋体" w:eastAsia="楷体_GB2312" w:cs="宋体"/>
          <w:kern w:val="0"/>
          <w:sz w:val="32"/>
          <w:szCs w:val="32"/>
        </w:rPr>
        <w:t>本行政机关落实上级年度政务公开工作要点情况：</w:t>
      </w:r>
      <w:r>
        <w:rPr>
          <w:rFonts w:hint="eastAsia" w:ascii="仿宋_GB2312" w:hAnsi="宋体" w:eastAsia="仿宋_GB2312" w:cs="宋体"/>
          <w:kern w:val="0"/>
          <w:sz w:val="32"/>
          <w:szCs w:val="32"/>
        </w:rPr>
        <w:t>区卫生健康局严格对标全区2025年度政务公开工作要点，紧密结合卫生健康领域工作实际，系统部署、压实责任，明确各科室职责分工，着力推动政务公开工作落地见效，全面提升政务公开的规范性、实效性和透明度。</w:t>
      </w:r>
    </w:p>
    <w:p w14:paraId="7C749BCC">
      <w:pPr>
        <w:keepNext w:val="0"/>
        <w:keepLines w:val="0"/>
        <w:pageBreakBefore w:val="0"/>
        <w:widowControl/>
        <w:kinsoku/>
        <w:wordWrap/>
        <w:overflowPunct/>
        <w:topLinePunct w:val="0"/>
        <w:autoSpaceDE/>
        <w:autoSpaceDN/>
        <w:bidi w:val="0"/>
        <w:adjustRightInd/>
        <w:snapToGrid/>
        <w:spacing w:line="540" w:lineRule="exact"/>
        <w:ind w:firstLine="635"/>
        <w:jc w:val="left"/>
        <w:textAlignment w:val="auto"/>
        <w:rPr>
          <w:rFonts w:ascii="宋体" w:hAnsi="宋体" w:eastAsia="宋体" w:cs="宋体"/>
          <w:kern w:val="0"/>
          <w:sz w:val="20"/>
          <w:szCs w:val="20"/>
        </w:rPr>
      </w:pPr>
      <w:r>
        <w:rPr>
          <w:rFonts w:hint="eastAsia" w:ascii="楷体_GB2312" w:hAnsi="Calibri" w:eastAsia="楷体_GB2312" w:cs="宋体"/>
          <w:kern w:val="0"/>
          <w:sz w:val="32"/>
          <w:szCs w:val="32"/>
        </w:rPr>
        <w:t>3.</w:t>
      </w:r>
      <w:r>
        <w:rPr>
          <w:rFonts w:hint="eastAsia" w:ascii="楷体_GB2312" w:hAnsi="宋体" w:eastAsia="楷体_GB2312" w:cs="宋体"/>
          <w:kern w:val="0"/>
          <w:sz w:val="32"/>
          <w:szCs w:val="32"/>
        </w:rPr>
        <w:t>本行政机关人大代表建议和政协提案办理结果公开情况：</w:t>
      </w:r>
      <w:r>
        <w:rPr>
          <w:rFonts w:hint="eastAsia" w:ascii="仿宋_GB2312" w:hAnsi="宋体" w:eastAsia="仿宋_GB2312" w:cs="宋体"/>
          <w:kern w:val="0"/>
          <w:sz w:val="32"/>
          <w:szCs w:val="32"/>
        </w:rPr>
        <w:t>区卫生健康局共承办区十三届人大</w:t>
      </w:r>
      <w:r>
        <w:rPr>
          <w:rFonts w:hint="eastAsia" w:ascii="仿宋_GB2312" w:hAnsi="宋体" w:eastAsia="仿宋_GB2312" w:cs="宋体"/>
          <w:kern w:val="0"/>
          <w:sz w:val="32"/>
          <w:szCs w:val="32"/>
          <w:lang w:val="en-US" w:eastAsia="zh-CN"/>
        </w:rPr>
        <w:t>四</w:t>
      </w:r>
      <w:r>
        <w:rPr>
          <w:rFonts w:hint="eastAsia" w:ascii="仿宋_GB2312" w:hAnsi="宋体" w:eastAsia="仿宋_GB2312" w:cs="宋体"/>
          <w:kern w:val="0"/>
          <w:sz w:val="32"/>
          <w:szCs w:val="32"/>
        </w:rPr>
        <w:t>次会议代表建议</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件、区政协十届</w:t>
      </w:r>
      <w:r>
        <w:rPr>
          <w:rFonts w:hint="eastAsia" w:ascii="仿宋_GB2312" w:hAnsi="宋体" w:eastAsia="仿宋_GB2312" w:cs="宋体"/>
          <w:kern w:val="0"/>
          <w:sz w:val="32"/>
          <w:szCs w:val="32"/>
          <w:lang w:val="en-US" w:eastAsia="zh-CN"/>
        </w:rPr>
        <w:t>四</w:t>
      </w:r>
      <w:r>
        <w:rPr>
          <w:rFonts w:hint="eastAsia" w:ascii="仿宋_GB2312" w:hAnsi="宋体" w:eastAsia="仿宋_GB2312" w:cs="宋体"/>
          <w:kern w:val="0"/>
          <w:sz w:val="32"/>
          <w:szCs w:val="32"/>
        </w:rPr>
        <w:t>次会议委员提案</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件、市政协十一届</w:t>
      </w:r>
      <w:r>
        <w:rPr>
          <w:rFonts w:hint="eastAsia" w:ascii="仿宋_GB2312" w:hAnsi="宋体" w:eastAsia="仿宋_GB2312" w:cs="宋体"/>
          <w:kern w:val="0"/>
          <w:sz w:val="32"/>
          <w:szCs w:val="32"/>
          <w:lang w:val="en-US" w:eastAsia="zh-CN"/>
        </w:rPr>
        <w:t>四</w:t>
      </w:r>
      <w:r>
        <w:rPr>
          <w:rFonts w:hint="eastAsia" w:ascii="仿宋_GB2312" w:hAnsi="宋体" w:eastAsia="仿宋_GB2312" w:cs="宋体"/>
          <w:kern w:val="0"/>
          <w:sz w:val="32"/>
          <w:szCs w:val="32"/>
        </w:rPr>
        <w:t>次会议委员提案</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件，均在规定的答复时限内答复完毕，并进行了主动公开。</w:t>
      </w:r>
    </w:p>
    <w:p w14:paraId="5C3071B8">
      <w:pPr>
        <w:keepNext w:val="0"/>
        <w:keepLines w:val="0"/>
        <w:pageBreakBefore w:val="0"/>
        <w:widowControl/>
        <w:kinsoku/>
        <w:wordWrap/>
        <w:overflowPunct/>
        <w:topLinePunct w:val="0"/>
        <w:autoSpaceDE/>
        <w:autoSpaceDN/>
        <w:bidi w:val="0"/>
        <w:adjustRightInd/>
        <w:snapToGrid/>
        <w:spacing w:line="540" w:lineRule="exact"/>
        <w:ind w:firstLine="635"/>
        <w:jc w:val="left"/>
        <w:textAlignment w:val="auto"/>
        <w:rPr>
          <w:rFonts w:ascii="楷体_GB2312" w:hAnsi="宋体" w:eastAsia="楷体_GB2312" w:cs="宋体"/>
          <w:kern w:val="0"/>
          <w:sz w:val="20"/>
          <w:szCs w:val="20"/>
        </w:rPr>
      </w:pPr>
      <w:r>
        <w:rPr>
          <w:rFonts w:hint="eastAsia" w:ascii="楷体_GB2312" w:hAnsi="Calibri" w:eastAsia="楷体_GB2312" w:cs="宋体"/>
          <w:kern w:val="0"/>
          <w:sz w:val="32"/>
          <w:szCs w:val="32"/>
        </w:rPr>
        <w:t>4.</w:t>
      </w:r>
      <w:r>
        <w:rPr>
          <w:rFonts w:hint="eastAsia" w:ascii="楷体_GB2312" w:hAnsi="宋体" w:eastAsia="楷体_GB2312" w:cs="宋体"/>
          <w:kern w:val="0"/>
          <w:sz w:val="32"/>
          <w:szCs w:val="32"/>
        </w:rPr>
        <w:t>本行政机关年度政务公开工作创新情况：</w:t>
      </w:r>
      <w:r>
        <w:rPr>
          <w:rFonts w:hint="eastAsia" w:ascii="仿宋_GB2312" w:hAnsi="宋体" w:eastAsia="仿宋_GB2312" w:cs="宋体"/>
          <w:kern w:val="0"/>
          <w:sz w:val="32"/>
          <w:szCs w:val="32"/>
        </w:rPr>
        <w:t>无。</w:t>
      </w:r>
    </w:p>
    <w:p w14:paraId="1FE4B3E6">
      <w:pPr>
        <w:keepNext w:val="0"/>
        <w:keepLines w:val="0"/>
        <w:pageBreakBefore w:val="0"/>
        <w:widowControl/>
        <w:kinsoku/>
        <w:wordWrap/>
        <w:overflowPunct/>
        <w:topLinePunct w:val="0"/>
        <w:autoSpaceDE/>
        <w:autoSpaceDN/>
        <w:bidi w:val="0"/>
        <w:adjustRightInd/>
        <w:snapToGrid/>
        <w:spacing w:line="540" w:lineRule="exact"/>
        <w:ind w:firstLine="635"/>
        <w:jc w:val="left"/>
        <w:textAlignment w:val="auto"/>
        <w:rPr>
          <w:rFonts w:ascii="宋体" w:hAnsi="宋体" w:eastAsia="宋体" w:cs="宋体"/>
          <w:kern w:val="0"/>
          <w:sz w:val="20"/>
          <w:szCs w:val="20"/>
        </w:rPr>
      </w:pPr>
      <w:r>
        <w:rPr>
          <w:rFonts w:hint="eastAsia" w:ascii="楷体_GB2312" w:hAnsi="Calibri" w:eastAsia="楷体_GB2312" w:cs="宋体"/>
          <w:kern w:val="0"/>
          <w:sz w:val="32"/>
          <w:szCs w:val="32"/>
        </w:rPr>
        <w:t>5.</w:t>
      </w:r>
      <w:r>
        <w:rPr>
          <w:rFonts w:hint="eastAsia" w:ascii="楷体_GB2312" w:hAnsi="宋体" w:eastAsia="楷体_GB2312" w:cs="宋体"/>
          <w:kern w:val="0"/>
          <w:sz w:val="32"/>
          <w:szCs w:val="32"/>
        </w:rPr>
        <w:t>本行政机关政府信息公开工作年度报告数据统计需要说明的事项：</w:t>
      </w:r>
      <w:r>
        <w:rPr>
          <w:rFonts w:hint="eastAsia" w:ascii="仿宋_GB2312" w:hAnsi="宋体" w:eastAsia="仿宋_GB2312" w:cs="宋体"/>
          <w:kern w:val="0"/>
          <w:sz w:val="32"/>
          <w:szCs w:val="32"/>
        </w:rPr>
        <w:t>报告中所列数据的统计期限自</w:t>
      </w:r>
      <w:r>
        <w:rPr>
          <w:rFonts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ascii="仿宋_GB2312" w:hAnsi="宋体" w:eastAsia="仿宋_GB2312" w:cs="宋体"/>
          <w:kern w:val="0"/>
          <w:sz w:val="32"/>
          <w:szCs w:val="32"/>
        </w:rPr>
        <w:t>年1月1日起至202</w:t>
      </w:r>
      <w:r>
        <w:rPr>
          <w:rFonts w:hint="eastAsia" w:ascii="仿宋_GB2312" w:hAnsi="宋体" w:eastAsia="仿宋_GB2312" w:cs="宋体"/>
          <w:kern w:val="0"/>
          <w:sz w:val="32"/>
          <w:szCs w:val="32"/>
          <w:lang w:val="en-US" w:eastAsia="zh-CN"/>
        </w:rPr>
        <w:t>5</w:t>
      </w:r>
      <w:r>
        <w:rPr>
          <w:rFonts w:ascii="仿宋_GB2312" w:hAnsi="宋体" w:eastAsia="仿宋_GB2312" w:cs="宋体"/>
          <w:kern w:val="0"/>
          <w:sz w:val="32"/>
          <w:szCs w:val="32"/>
        </w:rPr>
        <w:t>年12月31日止</w:t>
      </w:r>
      <w:r>
        <w:rPr>
          <w:rFonts w:hint="eastAsia" w:ascii="仿宋_GB2312" w:hAnsi="宋体" w:eastAsia="仿宋_GB2312" w:cs="宋体"/>
          <w:kern w:val="0"/>
          <w:sz w:val="32"/>
          <w:szCs w:val="32"/>
        </w:rPr>
        <w:t>。</w:t>
      </w:r>
    </w:p>
    <w:p w14:paraId="6E4B09FC">
      <w:pPr>
        <w:keepNext w:val="0"/>
        <w:keepLines w:val="0"/>
        <w:pageBreakBefore w:val="0"/>
        <w:widowControl/>
        <w:kinsoku/>
        <w:wordWrap/>
        <w:overflowPunct/>
        <w:topLinePunct w:val="0"/>
        <w:autoSpaceDE/>
        <w:autoSpaceDN/>
        <w:bidi w:val="0"/>
        <w:adjustRightInd/>
        <w:snapToGrid/>
        <w:spacing w:line="540" w:lineRule="exact"/>
        <w:ind w:firstLine="635"/>
        <w:jc w:val="left"/>
        <w:textAlignment w:val="auto"/>
        <w:rPr>
          <w:rFonts w:ascii="宋体" w:hAnsi="宋体" w:eastAsia="宋体" w:cs="宋体"/>
          <w:kern w:val="0"/>
          <w:sz w:val="20"/>
          <w:szCs w:val="20"/>
        </w:rPr>
      </w:pPr>
      <w:r>
        <w:rPr>
          <w:rFonts w:hint="eastAsia" w:ascii="楷体_GB2312" w:hAnsi="Calibri" w:eastAsia="楷体_GB2312" w:cs="宋体"/>
          <w:kern w:val="0"/>
          <w:sz w:val="32"/>
          <w:szCs w:val="32"/>
        </w:rPr>
        <w:t>6.</w:t>
      </w:r>
      <w:r>
        <w:rPr>
          <w:rFonts w:hint="eastAsia" w:ascii="楷体_GB2312" w:hAnsi="宋体" w:eastAsia="楷体_GB2312" w:cs="宋体"/>
          <w:kern w:val="0"/>
          <w:sz w:val="32"/>
          <w:szCs w:val="32"/>
        </w:rPr>
        <w:t>本行政机关认为需要报告的其他事项：</w:t>
      </w:r>
      <w:r>
        <w:rPr>
          <w:rFonts w:hint="eastAsia" w:ascii="仿宋_GB2312" w:hAnsi="宋体" w:eastAsia="仿宋_GB2312" w:cs="宋体"/>
          <w:kern w:val="0"/>
          <w:sz w:val="32"/>
          <w:szCs w:val="32"/>
        </w:rPr>
        <w:t>无。</w:t>
      </w:r>
    </w:p>
    <w:p w14:paraId="1DF9B231">
      <w:pPr>
        <w:keepNext w:val="0"/>
        <w:keepLines w:val="0"/>
        <w:pageBreakBefore w:val="0"/>
        <w:widowControl/>
        <w:kinsoku/>
        <w:wordWrap/>
        <w:overflowPunct/>
        <w:topLinePunct w:val="0"/>
        <w:autoSpaceDE/>
        <w:autoSpaceDN/>
        <w:bidi w:val="0"/>
        <w:adjustRightInd/>
        <w:snapToGrid/>
        <w:spacing w:line="540" w:lineRule="exact"/>
        <w:ind w:firstLine="635"/>
        <w:jc w:val="left"/>
        <w:textAlignment w:val="auto"/>
        <w:rPr>
          <w:rFonts w:ascii="宋体" w:hAnsi="宋体" w:eastAsia="宋体" w:cs="宋体"/>
          <w:kern w:val="0"/>
          <w:sz w:val="20"/>
          <w:szCs w:val="20"/>
        </w:rPr>
      </w:pPr>
      <w:r>
        <w:rPr>
          <w:rFonts w:hint="eastAsia" w:ascii="楷体_GB2312" w:hAnsi="Calibri" w:eastAsia="楷体_GB2312" w:cs="宋体"/>
          <w:kern w:val="0"/>
          <w:sz w:val="32"/>
          <w:szCs w:val="32"/>
        </w:rPr>
        <w:t>7.</w:t>
      </w:r>
      <w:r>
        <w:rPr>
          <w:rFonts w:hint="eastAsia" w:ascii="楷体_GB2312" w:hAnsi="宋体" w:eastAsia="楷体_GB2312" w:cs="宋体"/>
          <w:kern w:val="0"/>
          <w:sz w:val="32"/>
          <w:szCs w:val="32"/>
        </w:rPr>
        <w:t>其他有关文件专门要求通过政府信息公开工作年度报告予以报告的事项：</w:t>
      </w:r>
      <w:r>
        <w:rPr>
          <w:rFonts w:hint="eastAsia" w:ascii="仿宋_GB2312" w:hAnsi="宋体" w:eastAsia="仿宋_GB2312" w:cs="宋体"/>
          <w:kern w:val="0"/>
          <w:sz w:val="32"/>
          <w:szCs w:val="32"/>
        </w:rPr>
        <w:t>无。</w:t>
      </w:r>
    </w:p>
    <w:p w14:paraId="03569999">
      <w:pPr>
        <w:keepNext w:val="0"/>
        <w:keepLines w:val="0"/>
        <w:pageBreakBefore w:val="0"/>
        <w:widowControl/>
        <w:kinsoku/>
        <w:wordWrap/>
        <w:overflowPunct/>
        <w:topLinePunct w:val="0"/>
        <w:autoSpaceDE/>
        <w:autoSpaceDN/>
        <w:bidi w:val="0"/>
        <w:adjustRightInd/>
        <w:snapToGrid/>
        <w:spacing w:line="540" w:lineRule="exact"/>
        <w:ind w:firstLine="635"/>
        <w:jc w:val="left"/>
        <w:textAlignment w:val="auto"/>
        <w:rPr>
          <w:rFonts w:ascii="宋体" w:hAnsi="宋体" w:eastAsia="宋体" w:cs="宋体"/>
          <w:kern w:val="0"/>
          <w:sz w:val="20"/>
          <w:szCs w:val="20"/>
        </w:rPr>
      </w:pPr>
    </w:p>
    <w:p w14:paraId="19BDF4C5">
      <w:pPr>
        <w:keepNext w:val="0"/>
        <w:keepLines w:val="0"/>
        <w:pageBreakBefore w:val="0"/>
        <w:widowControl/>
        <w:kinsoku/>
        <w:wordWrap/>
        <w:overflowPunct/>
        <w:topLinePunct w:val="0"/>
        <w:autoSpaceDE/>
        <w:autoSpaceDN/>
        <w:bidi w:val="0"/>
        <w:adjustRightInd/>
        <w:snapToGrid/>
        <w:spacing w:line="540" w:lineRule="exact"/>
        <w:ind w:firstLine="635"/>
        <w:jc w:val="right"/>
        <w:textAlignment w:val="auto"/>
        <w:rPr>
          <w:rFonts w:ascii="仿宋_GB2312" w:hAnsi="Calibri" w:eastAsia="仿宋_GB2312" w:cs="宋体"/>
          <w:kern w:val="0"/>
          <w:sz w:val="32"/>
          <w:szCs w:val="32"/>
        </w:rPr>
      </w:pPr>
      <w:r>
        <w:rPr>
          <w:rFonts w:hint="eastAsia" w:ascii="仿宋_GB2312" w:hAnsi="Calibri" w:eastAsia="仿宋_GB2312" w:cs="宋体"/>
          <w:kern w:val="0"/>
          <w:sz w:val="32"/>
          <w:szCs w:val="32"/>
        </w:rPr>
        <w:t>台儿庄区</w:t>
      </w:r>
      <w:r>
        <w:rPr>
          <w:rFonts w:ascii="仿宋_GB2312" w:hAnsi="Calibri" w:eastAsia="仿宋_GB2312" w:cs="宋体"/>
          <w:kern w:val="0"/>
          <w:sz w:val="32"/>
          <w:szCs w:val="32"/>
        </w:rPr>
        <w:t>卫生健康局</w:t>
      </w:r>
    </w:p>
    <w:p w14:paraId="1A060809">
      <w:pPr>
        <w:widowControl/>
        <w:spacing w:line="560" w:lineRule="exact"/>
        <w:ind w:firstLine="634"/>
        <w:jc w:val="right"/>
        <w:rPr>
          <w:rFonts w:ascii="仿宋_GB2312" w:hAnsi="Calibri" w:eastAsia="仿宋_GB2312" w:cs="宋体"/>
          <w:kern w:val="0"/>
          <w:sz w:val="32"/>
          <w:szCs w:val="32"/>
        </w:rPr>
      </w:pPr>
      <w:r>
        <w:rPr>
          <w:rFonts w:hint="eastAsia" w:ascii="仿宋_GB2312" w:hAnsi="Calibri" w:eastAsia="仿宋_GB2312" w:cs="宋体"/>
          <w:kern w:val="0"/>
          <w:sz w:val="32"/>
          <w:szCs w:val="32"/>
        </w:rPr>
        <w:t>202</w:t>
      </w:r>
      <w:r>
        <w:rPr>
          <w:rFonts w:hint="eastAsia" w:ascii="仿宋_GB2312" w:hAnsi="Calibri" w:eastAsia="仿宋_GB2312" w:cs="宋体"/>
          <w:kern w:val="0"/>
          <w:sz w:val="32"/>
          <w:szCs w:val="32"/>
          <w:lang w:val="en-US" w:eastAsia="zh-CN"/>
        </w:rPr>
        <w:t>6</w:t>
      </w:r>
      <w:r>
        <w:rPr>
          <w:rFonts w:hint="eastAsia" w:ascii="仿宋_GB2312" w:hAnsi="Calibri" w:eastAsia="仿宋_GB2312" w:cs="宋体"/>
          <w:kern w:val="0"/>
          <w:sz w:val="32"/>
          <w:szCs w:val="32"/>
        </w:rPr>
        <w:t>年1月</w:t>
      </w:r>
      <w:r>
        <w:rPr>
          <w:rFonts w:ascii="仿宋_GB2312" w:hAnsi="Calibri" w:eastAsia="仿宋_GB2312" w:cs="宋体"/>
          <w:kern w:val="0"/>
          <w:sz w:val="32"/>
          <w:szCs w:val="32"/>
        </w:rPr>
        <w:t>16</w:t>
      </w:r>
      <w:r>
        <w:rPr>
          <w:rFonts w:hint="eastAsia" w:ascii="仿宋_GB2312" w:hAnsi="Calibri" w:eastAsia="仿宋_GB2312" w:cs="宋体"/>
          <w:kern w:val="0"/>
          <w:sz w:val="32"/>
          <w:szCs w:val="32"/>
        </w:rPr>
        <w:t>日</w:t>
      </w:r>
    </w:p>
    <w:sectPr>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7D43C5-864D-4302-B106-6323B91133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8E2A17-4A19-4664-91FA-56BC9F2244C6}"/>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E6A94D39-634D-4CCD-B61A-F393946B6FB9}"/>
  </w:font>
  <w:font w:name="仿宋_GB2312">
    <w:panose1 w:val="02010609030101010101"/>
    <w:charset w:val="86"/>
    <w:family w:val="modern"/>
    <w:pitch w:val="default"/>
    <w:sig w:usb0="00000001" w:usb1="080E0000" w:usb2="00000000" w:usb3="00000000" w:csb0="00040000" w:csb1="00000000"/>
    <w:embedRegular r:id="rId4" w:fontKey="{723399EF-4EBD-43FE-B9C6-3972556B501E}"/>
  </w:font>
  <w:font w:name="楷体_GB2312">
    <w:panose1 w:val="02010609030101010101"/>
    <w:charset w:val="86"/>
    <w:family w:val="modern"/>
    <w:pitch w:val="default"/>
    <w:sig w:usb0="00000001" w:usb1="080E0000" w:usb2="00000000" w:usb3="00000000" w:csb0="00040000" w:csb1="00000000"/>
    <w:embedRegular r:id="rId5" w:fontKey="{E151316F-BBC1-4408-B49A-52FB19D2131B}"/>
  </w:font>
  <w:font w:name="楷体">
    <w:panose1 w:val="02010609060101010101"/>
    <w:charset w:val="86"/>
    <w:family w:val="modern"/>
    <w:pitch w:val="default"/>
    <w:sig w:usb0="800002BF" w:usb1="38CF7CFA" w:usb2="00000016" w:usb3="00000000" w:csb0="00040001" w:csb1="00000000"/>
    <w:embedRegular r:id="rId6" w:fontKey="{CF8855BF-C777-47EF-BB8A-015F361245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YzMwZWJiODY3YzYxNzM1YWI5MmMxZDc3MmNmNTAifQ=="/>
  </w:docVars>
  <w:rsids>
    <w:rsidRoot w:val="00E973E3"/>
    <w:rsid w:val="00005B70"/>
    <w:rsid w:val="00147D1E"/>
    <w:rsid w:val="00297B98"/>
    <w:rsid w:val="00393BAD"/>
    <w:rsid w:val="006E6CF9"/>
    <w:rsid w:val="00803187"/>
    <w:rsid w:val="009D4F5D"/>
    <w:rsid w:val="00C753AC"/>
    <w:rsid w:val="00D71692"/>
    <w:rsid w:val="00D973BC"/>
    <w:rsid w:val="00DD15FB"/>
    <w:rsid w:val="00DF6D1C"/>
    <w:rsid w:val="00E9663B"/>
    <w:rsid w:val="00E973E3"/>
    <w:rsid w:val="00EA37AF"/>
    <w:rsid w:val="00F03A16"/>
    <w:rsid w:val="00F30F3E"/>
    <w:rsid w:val="00F54C6B"/>
    <w:rsid w:val="00F8279C"/>
    <w:rsid w:val="031C3EDB"/>
    <w:rsid w:val="0C8C740B"/>
    <w:rsid w:val="0D081440"/>
    <w:rsid w:val="16884289"/>
    <w:rsid w:val="1BBA4C6D"/>
    <w:rsid w:val="3B847B97"/>
    <w:rsid w:val="477607E6"/>
    <w:rsid w:val="47E13AB0"/>
    <w:rsid w:val="4AEB0E78"/>
    <w:rsid w:val="62734BB5"/>
    <w:rsid w:val="73E23511"/>
    <w:rsid w:val="75473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qFormat/>
    <w:uiPriority w:val="9"/>
    <w:rPr>
      <w:rFonts w:ascii="宋体" w:hAnsi="宋体" w:eastAsia="宋体" w:cs="宋体"/>
      <w:b/>
      <w:bCs/>
      <w:kern w:val="36"/>
      <w:sz w:val="48"/>
      <w:szCs w:val="48"/>
    </w:rPr>
  </w:style>
  <w:style w:type="paragraph" w:customStyle="1" w:styleId="6">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2725</Words>
  <Characters>2864</Characters>
  <Lines>20</Lines>
  <Paragraphs>5</Paragraphs>
  <TotalTime>199</TotalTime>
  <ScaleCrop>false</ScaleCrop>
  <LinksUpToDate>false</LinksUpToDate>
  <CharactersWithSpaces>2876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2024-01-25T01:37:00Z</dcterms:created>
  <dc:creator>AutoBVT</dc:creator>
  <cp:lastModifiedBy>李舒月</cp:lastModifiedBy>
  <dcterms:modified xsi:type="dcterms:W3CDTF">2026-01-16T03:04:14Z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457F6F4F98EA439682416F3440945B7D_13</vt:lpwstr>
  </property>
  <property fmtid="{D5CDD505-2E9C-101B-9397-08002B2CF9AE}" pid="4" name="KSOTemplateDocerSaveRecord">
    <vt:lpwstr>eyJoZGlkIjoiMjA5YzU0YWI5NWNiMThkYjBmZTRiN2MzZTc1YWYxY2QiLCJ1c2VySWQiOiIxNzY4Mzc4MTMxIn0=</vt:lpwstr>
  </property>
</Properties>
</file>