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4CFBC">
      <w:pPr>
        <w:pStyle w:val="2"/>
        <w:widowControl/>
        <w:spacing w:beforeAutospacing="0" w:afterAutospacing="0" w:line="560" w:lineRule="exact"/>
        <w:jc w:val="center"/>
        <w:rPr>
          <w:rFonts w:hint="eastAsia" w:ascii="方正小标宋简体" w:eastAsia="方正小标宋简体" w:cs="仿宋_GB2312"/>
          <w:color w:val="auto"/>
          <w:sz w:val="44"/>
          <w:szCs w:val="44"/>
        </w:rPr>
      </w:pPr>
      <w:r>
        <w:rPr>
          <w:rFonts w:hint="eastAsia" w:ascii="方正小标宋简体" w:eastAsia="方正小标宋简体" w:cs="仿宋_GB2312"/>
          <w:color w:val="auto"/>
          <w:sz w:val="44"/>
          <w:szCs w:val="44"/>
        </w:rPr>
        <w:t>枣庄市台儿庄区交通运输局</w:t>
      </w:r>
    </w:p>
    <w:p w14:paraId="1251DE4B">
      <w:pPr>
        <w:pStyle w:val="2"/>
        <w:widowControl/>
        <w:spacing w:beforeAutospacing="0" w:afterAutospacing="0" w:line="560" w:lineRule="exact"/>
        <w:jc w:val="center"/>
        <w:rPr>
          <w:rFonts w:hint="eastAsia" w:ascii="方正小标宋简体" w:eastAsia="方正小标宋简体" w:cs="仿宋_GB2312"/>
          <w:color w:val="auto"/>
          <w:sz w:val="44"/>
          <w:szCs w:val="44"/>
        </w:rPr>
      </w:pPr>
      <w:r>
        <w:rPr>
          <w:rFonts w:hint="eastAsia" w:ascii="方正小标宋简体" w:eastAsia="方正小标宋简体" w:cs="仿宋_GB2312"/>
          <w:color w:val="auto"/>
          <w:sz w:val="44"/>
          <w:szCs w:val="44"/>
        </w:rPr>
        <w:t>202</w:t>
      </w:r>
      <w:r>
        <w:rPr>
          <w:rFonts w:hint="eastAsia" w:ascii="方正小标宋简体" w:eastAsia="方正小标宋简体" w:cs="仿宋_GB2312"/>
          <w:color w:val="auto"/>
          <w:sz w:val="44"/>
          <w:szCs w:val="44"/>
          <w:lang w:val="en-US" w:eastAsia="zh-CN"/>
        </w:rPr>
        <w:t>5</w:t>
      </w:r>
      <w:r>
        <w:rPr>
          <w:rFonts w:hint="eastAsia" w:ascii="方正小标宋简体" w:eastAsia="方正小标宋简体" w:cs="仿宋_GB2312"/>
          <w:color w:val="auto"/>
          <w:sz w:val="44"/>
          <w:szCs w:val="44"/>
        </w:rPr>
        <w:t>年政府信息公开工作年度报告</w:t>
      </w:r>
    </w:p>
    <w:p w14:paraId="498CE245">
      <w:pPr>
        <w:pStyle w:val="2"/>
        <w:widowControl/>
        <w:spacing w:beforeAutospacing="0" w:afterAutospacing="0" w:line="560" w:lineRule="exact"/>
        <w:jc w:val="center"/>
        <w:rPr>
          <w:rFonts w:hint="eastAsia" w:ascii="仿宋_GB2312" w:eastAsia="仿宋_GB2312" w:cs="仿宋_GB2312"/>
          <w:color w:val="auto"/>
          <w:sz w:val="32"/>
          <w:szCs w:val="32"/>
        </w:rPr>
      </w:pPr>
    </w:p>
    <w:p w14:paraId="33A2F24C">
      <w:pPr>
        <w:pStyle w:val="2"/>
        <w:widowControl/>
        <w:spacing w:beforeAutospacing="0" w:afterAutospacing="0" w:line="560" w:lineRule="exact"/>
        <w:ind w:firstLine="640" w:firstLineChars="200"/>
        <w:rPr>
          <w:color w:val="auto"/>
          <w:sz w:val="32"/>
          <w:szCs w:val="32"/>
        </w:rPr>
      </w:pPr>
      <w:r>
        <w:rPr>
          <w:rFonts w:ascii="仿宋_GB2312" w:eastAsia="仿宋_GB2312" w:cs="仿宋_GB2312"/>
          <w:color w:val="auto"/>
          <w:sz w:val="32"/>
          <w:szCs w:val="32"/>
        </w:rPr>
        <w:t>本年度报告根据《中华人民共和国政府信息公开条例》</w:t>
      </w:r>
      <w:r>
        <w:rPr>
          <w:rFonts w:hint="eastAsia" w:ascii="仿宋_GB2312" w:eastAsia="仿宋_GB2312" w:cs="仿宋_GB2312"/>
          <w:color w:val="auto"/>
          <w:sz w:val="32"/>
          <w:szCs w:val="32"/>
        </w:rPr>
        <w:t>(以下简称《条例》)、《山东省政府信息公开办法》（以下简称《办法》）</w:t>
      </w:r>
      <w:r>
        <w:rPr>
          <w:rFonts w:hint="eastAsia" w:ascii="仿宋_GB2312" w:eastAsia="仿宋_GB2312" w:cs="仿宋_GB2312"/>
          <w:color w:val="auto"/>
          <w:sz w:val="32"/>
          <w:szCs w:val="32"/>
          <w:lang w:val="en-US" w:eastAsia="zh-CN"/>
        </w:rPr>
        <w:t>等</w:t>
      </w:r>
      <w:r>
        <w:rPr>
          <w:rFonts w:hint="eastAsia" w:ascii="仿宋_GB2312" w:eastAsia="仿宋_GB2312" w:cs="仿宋_GB2312"/>
          <w:color w:val="auto"/>
          <w:sz w:val="32"/>
          <w:szCs w:val="32"/>
        </w:rPr>
        <w:t>要求，汇总202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度区交通运输局政务公开情况编制而成。报告包括总体情况，行政机关主动公开政府信息情况，行政机关收到和处理政府信息公开申请情况，因政府信息公开工作被申请行政复议、提起行政诉讼情况，政府信息公开工作存在的主要问题及改进情况，其他需要报告的事项6个部分。报告中所列数据的统计期限自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年1月1日起至202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12月31日止。本年度报告电子版可从枣庄市台儿庄区人民政府门户网站“台儿庄区人民政府”（http://www.tez.gov.cn/）查阅或下载。如对本报告有疑问，可与区交通运输局办公室联系。（地址:台儿庄区文化路3199号，邮编:277400，电话:0632—8128100，电子邮箱:tezjtysj@zz.shandong.cn）。</w:t>
      </w:r>
    </w:p>
    <w:p w14:paraId="34DEB43E">
      <w:pPr>
        <w:pStyle w:val="2"/>
        <w:widowControl/>
        <w:spacing w:beforeAutospacing="0" w:afterAutospacing="0" w:line="560" w:lineRule="exact"/>
        <w:ind w:firstLine="640" w:firstLineChars="200"/>
        <w:rPr>
          <w:color w:val="auto"/>
          <w:sz w:val="32"/>
          <w:szCs w:val="32"/>
        </w:rPr>
      </w:pPr>
      <w:r>
        <w:rPr>
          <w:rFonts w:ascii="黑体" w:hAnsi="宋体" w:eastAsia="黑体" w:cs="黑体"/>
          <w:color w:val="auto"/>
          <w:sz w:val="32"/>
          <w:szCs w:val="32"/>
        </w:rPr>
        <w:t>一、总体情况</w:t>
      </w:r>
    </w:p>
    <w:p w14:paraId="6E6F0229">
      <w:pPr>
        <w:pStyle w:val="2"/>
        <w:widowControl/>
        <w:spacing w:beforeAutospacing="0" w:afterAutospacing="0"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（一）主动公开情况。</w:t>
      </w:r>
    </w:p>
    <w:p w14:paraId="7871B783">
      <w:pPr>
        <w:pStyle w:val="2"/>
        <w:widowControl/>
        <w:spacing w:beforeAutospacing="0" w:afterAutospacing="0"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2025年，台儿庄区交通运输局政府信息公开工作坚持以习近平新时代中国特色社会主义思想为指引，深入贯彻落实《中华人民共和国政府信息公开条例》和相关文件部署，根据政务公开重点工作任务分工，把政务公开与部门工作相结合，积极做好政府信息公开平台的维护、更新工作和依申请公开的回复工作，进一步强化主动公开力度，及时、准确、有效地向社会发布相关政府工作信息。2025年，通过区政府网站上传公开信息共105条。</w:t>
      </w:r>
    </w:p>
    <w:p w14:paraId="5351E0A4">
      <w:pPr>
        <w:pStyle w:val="2"/>
        <w:widowControl/>
        <w:spacing w:beforeAutospacing="0" w:afterAutospacing="0" w:line="560" w:lineRule="exact"/>
        <w:ind w:firstLine="640" w:firstLineChars="200"/>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（二）依申请公开工作情况。</w:t>
      </w:r>
    </w:p>
    <w:p w14:paraId="20C060F3">
      <w:pPr>
        <w:pStyle w:val="2"/>
        <w:widowControl/>
        <w:spacing w:beforeAutospacing="0" w:afterAutospacing="0"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区交通运输局严格按照《中华人民共和国政府信息公开条例》要求，认真落实相关制度规定，严格按照流程办理依申请公开，确保在相应工作日内按时答复，满足群众个性化合理信息需求。</w:t>
      </w:r>
    </w:p>
    <w:p w14:paraId="1CB82164">
      <w:pPr>
        <w:pStyle w:val="2"/>
        <w:widowControl/>
        <w:spacing w:beforeAutospacing="0" w:afterAutospacing="0" w:line="560" w:lineRule="exact"/>
        <w:ind w:firstLine="640" w:firstLineChars="200"/>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（三）政府信息管理情况。</w:t>
      </w:r>
    </w:p>
    <w:p w14:paraId="5DE3916B">
      <w:pPr>
        <w:pStyle w:val="2"/>
        <w:widowControl/>
        <w:spacing w:beforeAutospacing="0" w:afterAutospacing="0"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健全完善政府信息公开工作管理机制，根据人员调整及分工及时更新职能职责，安排专人负责信息公开传送和平台管理。在公开政府信息过程中，认真落实《中华人民共和国保守国家秘密法》《中华人民共和国政府信息公开条例》等规定，按照《台儿庄区交通运输局政务信息工作方案》要求，及时明确政府信息的公开属性，严格审核发布的政府信息公开内容，经主要领导、分管领导、科室负责人“三审三校”后再发布。确保“公开信息不涉密、涉密信息不公开”。</w:t>
      </w:r>
    </w:p>
    <w:p w14:paraId="472715AF">
      <w:pPr>
        <w:pStyle w:val="2"/>
        <w:widowControl/>
        <w:spacing w:beforeAutospacing="0" w:afterAutospacing="0" w:line="560" w:lineRule="exact"/>
        <w:ind w:firstLine="640" w:firstLineChars="200"/>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（四）平台建设情况。</w:t>
      </w:r>
    </w:p>
    <w:p w14:paraId="07EBE16D">
      <w:pPr>
        <w:pStyle w:val="2"/>
        <w:widowControl/>
        <w:spacing w:beforeAutospacing="0" w:afterAutospacing="0"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我局高度重视政府网站和政务新媒体建设工作，依托政府网站等平台发布信息，同时开设“台儿庄区交通运输事业服务中心”微信公众号1个，明确专人负责平台管理，充分发挥媒体平台的信息宣传、政务公开作用，提升群众获取政府信息的便利度和幸福感。我局公共服务事项，涉及行政许可、行政处罚、行政确认、其他权力、行政检查、公共服务、行政备案等事项。</w:t>
      </w:r>
    </w:p>
    <w:p w14:paraId="5E5E617A">
      <w:pPr>
        <w:pStyle w:val="2"/>
        <w:widowControl/>
        <w:spacing w:beforeAutospacing="0" w:afterAutospacing="0" w:line="560" w:lineRule="exact"/>
        <w:ind w:firstLine="640" w:firstLineChars="200"/>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（五）监督保障情况。</w:t>
      </w:r>
      <w:bookmarkStart w:id="10" w:name="_GoBack"/>
      <w:bookmarkEnd w:id="10"/>
    </w:p>
    <w:p w14:paraId="36777C69">
      <w:pPr>
        <w:pStyle w:val="2"/>
        <w:widowControl/>
        <w:spacing w:beforeAutospacing="0" w:afterAutospacing="0" w:line="560" w:lineRule="exact"/>
        <w:ind w:firstLine="640" w:firstLineChars="200"/>
        <w:rPr>
          <w:rFonts w:hint="eastAsia" w:eastAsia="仿宋_GB2312"/>
          <w:color w:val="0070C0"/>
          <w:sz w:val="32"/>
          <w:szCs w:val="32"/>
          <w:lang w:eastAsia="zh-CN"/>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区交通运输局高度重视政府信息公开工作，制定了政务信息公开工作方案，明确1名分管领导直接抓工作落实，明确专人负责政务公开工作，严格按照信息发布工作流程和审核制度，严格落实谁发布、谁负责制度，确保发布内容的正确性、准确性，自觉接受区政府办公室的监督检查，积极主动发布可公开的政府信息，保障人民群众知情、参与权。</w:t>
      </w:r>
    </w:p>
    <w:p w14:paraId="5934D1E6">
      <w:pPr>
        <w:pStyle w:val="2"/>
        <w:widowControl/>
        <w:spacing w:beforeAutospacing="0" w:afterAutospacing="0" w:line="560" w:lineRule="exact"/>
        <w:ind w:firstLine="640" w:firstLineChars="200"/>
        <w:rPr>
          <w:rFonts w:hint="eastAsia" w:eastAsia="黑体"/>
          <w:color w:val="auto"/>
          <w:lang w:eastAsia="zh-CN"/>
        </w:rPr>
      </w:pPr>
      <w:r>
        <w:rPr>
          <w:rFonts w:hint="eastAsia" w:ascii="黑体" w:hAnsi="宋体" w:eastAsia="黑体" w:cs="黑体"/>
          <w:color w:val="auto"/>
          <w:sz w:val="32"/>
          <w:szCs w:val="32"/>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410</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bl>
    <w:p w14:paraId="4BB77A9D">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color w:val="auto"/>
          <w:sz w:val="32"/>
          <w:szCs w:val="32"/>
        </w:rPr>
      </w:pPr>
      <w:r>
        <w:rPr>
          <w:rFonts w:hint="eastAsia" w:ascii="黑体" w:hAnsi="宋体" w:eastAsia="黑体" w:cs="黑体"/>
          <w:color w:val="auto"/>
          <w:sz w:val="32"/>
          <w:szCs w:val="32"/>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64F98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shd w:val="clear" w:color="auto" w:fill="auto"/>
            <w:tcMar>
              <w:left w:w="108" w:type="dxa"/>
              <w:right w:w="108" w:type="dxa"/>
            </w:tcMar>
            <w:vAlign w:val="center"/>
          </w:tcPr>
          <w:p w14:paraId="23AED80B">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351DCB4">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54" w:type="dxa"/>
            <w:gridSpan w:val="7"/>
            <w:shd w:val="clear" w:color="auto" w:fill="auto"/>
            <w:tcMar>
              <w:left w:w="108" w:type="dxa"/>
              <w:right w:w="108" w:type="dxa"/>
            </w:tcMar>
            <w:vAlign w:val="center"/>
          </w:tcPr>
          <w:p w14:paraId="789108D9">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9542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shd w:val="clear" w:color="auto" w:fill="auto"/>
            <w:tcMar>
              <w:left w:w="108" w:type="dxa"/>
              <w:right w:w="108" w:type="dxa"/>
            </w:tcMar>
            <w:vAlign w:val="center"/>
          </w:tcPr>
          <w:p w14:paraId="018552F1">
            <w:pPr>
              <w:jc w:val="center"/>
              <w:rPr>
                <w:rFonts w:ascii="仿宋_GB2312" w:eastAsia="仿宋_GB2312"/>
                <w:szCs w:val="21"/>
              </w:rPr>
            </w:pPr>
          </w:p>
        </w:tc>
        <w:tc>
          <w:tcPr>
            <w:tcW w:w="752" w:type="dxa"/>
            <w:vMerge w:val="restart"/>
            <w:shd w:val="clear" w:color="auto" w:fill="auto"/>
            <w:tcMar>
              <w:left w:w="108" w:type="dxa"/>
              <w:right w:w="108" w:type="dxa"/>
            </w:tcMar>
            <w:vAlign w:val="center"/>
          </w:tcPr>
          <w:p w14:paraId="799B209C">
            <w:pPr>
              <w:widowControl/>
              <w:jc w:val="center"/>
              <w:rPr>
                <w:rFonts w:ascii="黑体" w:hAnsi="黑体" w:eastAsia="黑体"/>
                <w:szCs w:val="21"/>
              </w:rPr>
            </w:pPr>
            <w:r>
              <w:rPr>
                <w:rFonts w:hint="eastAsia" w:ascii="黑体" w:hAnsi="黑体" w:eastAsia="黑体"/>
                <w:kern w:val="0"/>
                <w:szCs w:val="21"/>
              </w:rPr>
              <w:t>自然人</w:t>
            </w:r>
          </w:p>
        </w:tc>
        <w:tc>
          <w:tcPr>
            <w:tcW w:w="3001" w:type="dxa"/>
            <w:gridSpan w:val="5"/>
            <w:shd w:val="clear" w:color="auto" w:fill="auto"/>
            <w:tcMar>
              <w:left w:w="108" w:type="dxa"/>
              <w:right w:w="108" w:type="dxa"/>
            </w:tcMar>
            <w:vAlign w:val="center"/>
          </w:tcPr>
          <w:p w14:paraId="374A1137">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4F3809F2">
            <w:pPr>
              <w:widowControl/>
              <w:jc w:val="center"/>
              <w:rPr>
                <w:rFonts w:ascii="黑体" w:hAnsi="黑体" w:eastAsia="黑体"/>
                <w:szCs w:val="21"/>
              </w:rPr>
            </w:pPr>
            <w:r>
              <w:rPr>
                <w:rFonts w:hint="eastAsia" w:ascii="黑体" w:hAnsi="黑体" w:eastAsia="黑体"/>
                <w:kern w:val="0"/>
                <w:szCs w:val="21"/>
              </w:rPr>
              <w:t>总计</w:t>
            </w:r>
          </w:p>
        </w:tc>
      </w:tr>
      <w:tr w14:paraId="69219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shd w:val="clear" w:color="auto" w:fill="auto"/>
            <w:tcMar>
              <w:left w:w="108" w:type="dxa"/>
              <w:right w:w="108" w:type="dxa"/>
            </w:tcMar>
            <w:vAlign w:val="center"/>
          </w:tcPr>
          <w:p w14:paraId="7E6C9CBF">
            <w:pPr>
              <w:jc w:val="center"/>
              <w:rPr>
                <w:rFonts w:ascii="仿宋_GB2312" w:eastAsia="仿宋_GB2312"/>
                <w:szCs w:val="21"/>
              </w:rPr>
            </w:pPr>
          </w:p>
        </w:tc>
        <w:tc>
          <w:tcPr>
            <w:tcW w:w="752" w:type="dxa"/>
            <w:vMerge w:val="continue"/>
            <w:shd w:val="clear" w:color="auto" w:fill="auto"/>
            <w:tcMar>
              <w:left w:w="108" w:type="dxa"/>
              <w:right w:w="108" w:type="dxa"/>
            </w:tcMar>
            <w:vAlign w:val="center"/>
          </w:tcPr>
          <w:p w14:paraId="3F8E07CD">
            <w:pPr>
              <w:jc w:val="center"/>
              <w:rPr>
                <w:rFonts w:ascii="黑体" w:hAnsi="黑体" w:eastAsia="黑体"/>
                <w:szCs w:val="21"/>
              </w:rPr>
            </w:pPr>
          </w:p>
        </w:tc>
        <w:tc>
          <w:tcPr>
            <w:tcW w:w="540" w:type="dxa"/>
            <w:shd w:val="clear" w:color="auto" w:fill="auto"/>
            <w:tcMar>
              <w:left w:w="108" w:type="dxa"/>
              <w:right w:w="108" w:type="dxa"/>
            </w:tcMar>
            <w:vAlign w:val="center"/>
          </w:tcPr>
          <w:p w14:paraId="1CB815FD">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464615B9">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7BAE73D1">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290E6CD4">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6" w:type="dxa"/>
            <w:shd w:val="clear" w:color="auto" w:fill="auto"/>
            <w:tcMar>
              <w:left w:w="108" w:type="dxa"/>
              <w:right w:w="108" w:type="dxa"/>
            </w:tcMar>
            <w:vAlign w:val="center"/>
          </w:tcPr>
          <w:p w14:paraId="37F5D278">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44498161">
            <w:pPr>
              <w:jc w:val="center"/>
              <w:rPr>
                <w:rFonts w:ascii="仿宋_GB2312" w:eastAsia="仿宋_GB2312"/>
                <w:szCs w:val="21"/>
              </w:rPr>
            </w:pPr>
          </w:p>
        </w:tc>
      </w:tr>
      <w:tr w14:paraId="48033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7D51495B">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52" w:type="dxa"/>
            <w:shd w:val="clear" w:color="auto" w:fill="auto"/>
            <w:tcMar>
              <w:left w:w="108" w:type="dxa"/>
              <w:right w:w="108" w:type="dxa"/>
            </w:tcMar>
            <w:vAlign w:val="center"/>
          </w:tcPr>
          <w:p w14:paraId="19DF596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540" w:type="dxa"/>
            <w:shd w:val="clear" w:color="auto" w:fill="auto"/>
            <w:tcMar>
              <w:left w:w="108" w:type="dxa"/>
              <w:right w:w="108" w:type="dxa"/>
            </w:tcMar>
            <w:vAlign w:val="center"/>
          </w:tcPr>
          <w:p w14:paraId="434A3D3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42CF0B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C9E1FA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1C075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6C85995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0FE9964">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r>
      <w:tr w14:paraId="1E7EA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shd w:val="clear" w:color="auto" w:fill="auto"/>
            <w:tcMar>
              <w:left w:w="108" w:type="dxa"/>
              <w:right w:w="108" w:type="dxa"/>
            </w:tcMar>
            <w:vAlign w:val="center"/>
          </w:tcPr>
          <w:p w14:paraId="13732679">
            <w:pPr>
              <w:widowControl/>
              <w:rPr>
                <w:rFonts w:ascii="黑体" w:hAnsi="黑体" w:eastAsia="黑体"/>
                <w:szCs w:val="21"/>
              </w:rPr>
            </w:pPr>
            <w:r>
              <w:rPr>
                <w:rFonts w:hint="eastAsia" w:ascii="黑体" w:hAnsi="黑体" w:eastAsia="黑体"/>
                <w:kern w:val="0"/>
                <w:szCs w:val="21"/>
              </w:rPr>
              <w:t>二、上年结转政府信息公开申请数量</w:t>
            </w:r>
          </w:p>
        </w:tc>
        <w:tc>
          <w:tcPr>
            <w:tcW w:w="752" w:type="dxa"/>
            <w:shd w:val="clear" w:color="auto" w:fill="auto"/>
            <w:tcMar>
              <w:left w:w="108" w:type="dxa"/>
              <w:right w:w="108" w:type="dxa"/>
            </w:tcMar>
            <w:vAlign w:val="center"/>
          </w:tcPr>
          <w:p w14:paraId="305E399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812BD8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868C3C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47449B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1396E6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AE835D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565D66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83BB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shd w:val="clear" w:color="auto" w:fill="auto"/>
            <w:tcMar>
              <w:left w:w="108" w:type="dxa"/>
              <w:right w:w="108" w:type="dxa"/>
            </w:tcMar>
            <w:vAlign w:val="center"/>
          </w:tcPr>
          <w:p w14:paraId="2E414C9F">
            <w:pPr>
              <w:widowControl/>
              <w:spacing w:after="180"/>
              <w:rPr>
                <w:rFonts w:ascii="黑体" w:hAnsi="黑体" w:eastAsia="黑体"/>
                <w:szCs w:val="21"/>
              </w:rPr>
            </w:pPr>
            <w:r>
              <w:rPr>
                <w:rFonts w:hint="eastAsia" w:ascii="黑体" w:hAnsi="黑体" w:eastAsia="黑体"/>
                <w:kern w:val="0"/>
                <w:szCs w:val="21"/>
              </w:rPr>
              <w:t>三、本年度办理结果</w:t>
            </w:r>
          </w:p>
        </w:tc>
        <w:tc>
          <w:tcPr>
            <w:tcW w:w="4672" w:type="dxa"/>
            <w:gridSpan w:val="2"/>
            <w:shd w:val="clear" w:color="auto" w:fill="auto"/>
            <w:tcMar>
              <w:left w:w="108" w:type="dxa"/>
              <w:right w:w="108" w:type="dxa"/>
            </w:tcMar>
            <w:vAlign w:val="center"/>
          </w:tcPr>
          <w:p w14:paraId="1F0C95AC">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14DB6EB4">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2951261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FD91BE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4F753C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B95197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26A790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A658894">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065A2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22DED501">
            <w:pPr>
              <w:rPr>
                <w:rFonts w:ascii="黑体" w:hAnsi="黑体" w:eastAsia="黑体"/>
                <w:szCs w:val="21"/>
              </w:rPr>
            </w:pPr>
          </w:p>
        </w:tc>
        <w:tc>
          <w:tcPr>
            <w:tcW w:w="4672" w:type="dxa"/>
            <w:gridSpan w:val="2"/>
            <w:shd w:val="clear" w:color="auto" w:fill="auto"/>
            <w:tcMar>
              <w:left w:w="108" w:type="dxa"/>
              <w:right w:w="108" w:type="dxa"/>
            </w:tcMar>
            <w:vAlign w:val="center"/>
          </w:tcPr>
          <w:p w14:paraId="796A961A">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3BD8915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CDFEF9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88ED1F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A62408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B27CB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462F4F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094B05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5AF5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EF15E51">
            <w:pPr>
              <w:rPr>
                <w:rFonts w:ascii="黑体" w:hAnsi="黑体" w:eastAsia="黑体"/>
                <w:szCs w:val="21"/>
              </w:rPr>
            </w:pPr>
          </w:p>
        </w:tc>
        <w:tc>
          <w:tcPr>
            <w:tcW w:w="1699" w:type="dxa"/>
            <w:vMerge w:val="restart"/>
            <w:shd w:val="clear" w:color="auto" w:fill="auto"/>
            <w:tcMar>
              <w:left w:w="108" w:type="dxa"/>
              <w:right w:w="108" w:type="dxa"/>
            </w:tcMar>
            <w:vAlign w:val="center"/>
          </w:tcPr>
          <w:p w14:paraId="6E1FD70D">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3" w:type="dxa"/>
            <w:shd w:val="clear" w:color="auto" w:fill="auto"/>
            <w:tcMar>
              <w:left w:w="108" w:type="dxa"/>
              <w:right w:w="108" w:type="dxa"/>
            </w:tcMar>
            <w:vAlign w:val="center"/>
          </w:tcPr>
          <w:p w14:paraId="34D6075C">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52" w:type="dxa"/>
            <w:shd w:val="clear" w:color="auto" w:fill="auto"/>
            <w:tcMar>
              <w:left w:w="108" w:type="dxa"/>
              <w:right w:w="108" w:type="dxa"/>
            </w:tcMar>
            <w:vAlign w:val="center"/>
          </w:tcPr>
          <w:p w14:paraId="1528AD6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509AB3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314B05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976CA2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1EB0856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5C6B82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D8BEC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459A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2B7D7DF7">
            <w:pPr>
              <w:rPr>
                <w:rFonts w:ascii="黑体" w:hAnsi="黑体" w:eastAsia="黑体"/>
                <w:szCs w:val="21"/>
              </w:rPr>
            </w:pPr>
          </w:p>
        </w:tc>
        <w:tc>
          <w:tcPr>
            <w:tcW w:w="1699" w:type="dxa"/>
            <w:vMerge w:val="continue"/>
            <w:shd w:val="clear" w:color="auto" w:fill="auto"/>
            <w:tcMar>
              <w:left w:w="108" w:type="dxa"/>
              <w:right w:w="108" w:type="dxa"/>
            </w:tcMar>
            <w:vAlign w:val="center"/>
          </w:tcPr>
          <w:p w14:paraId="1F7B1186">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0C23A7AD">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52" w:type="dxa"/>
            <w:shd w:val="clear" w:color="auto" w:fill="auto"/>
            <w:tcMar>
              <w:left w:w="108" w:type="dxa"/>
              <w:right w:w="108" w:type="dxa"/>
            </w:tcMar>
            <w:vAlign w:val="center"/>
          </w:tcPr>
          <w:p w14:paraId="2081846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96632A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C12824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1CDE8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1F3996D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0AFAB0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5EA621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4E4A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02DDEE0">
            <w:pPr>
              <w:rPr>
                <w:rFonts w:ascii="黑体" w:hAnsi="黑体" w:eastAsia="黑体"/>
                <w:szCs w:val="21"/>
              </w:rPr>
            </w:pPr>
          </w:p>
        </w:tc>
        <w:tc>
          <w:tcPr>
            <w:tcW w:w="1699" w:type="dxa"/>
            <w:vMerge w:val="continue"/>
            <w:shd w:val="clear" w:color="auto" w:fill="auto"/>
            <w:tcMar>
              <w:left w:w="108" w:type="dxa"/>
              <w:right w:w="108" w:type="dxa"/>
            </w:tcMar>
            <w:vAlign w:val="center"/>
          </w:tcPr>
          <w:p w14:paraId="06364322">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13D6CF2F">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52" w:type="dxa"/>
            <w:shd w:val="clear" w:color="auto" w:fill="auto"/>
            <w:tcMar>
              <w:left w:w="108" w:type="dxa"/>
              <w:right w:w="108" w:type="dxa"/>
            </w:tcMar>
            <w:vAlign w:val="center"/>
          </w:tcPr>
          <w:p w14:paraId="490E7FF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A15C58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4CEE7D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26E284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6A48C1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8ED4CB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8C6E72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F4C1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A891157">
            <w:pPr>
              <w:rPr>
                <w:rFonts w:ascii="黑体" w:hAnsi="黑体" w:eastAsia="黑体"/>
                <w:szCs w:val="21"/>
              </w:rPr>
            </w:pPr>
          </w:p>
        </w:tc>
        <w:tc>
          <w:tcPr>
            <w:tcW w:w="1699" w:type="dxa"/>
            <w:vMerge w:val="continue"/>
            <w:shd w:val="clear" w:color="auto" w:fill="auto"/>
            <w:tcMar>
              <w:left w:w="108" w:type="dxa"/>
              <w:right w:w="108" w:type="dxa"/>
            </w:tcMar>
            <w:vAlign w:val="center"/>
          </w:tcPr>
          <w:p w14:paraId="7145CF2F">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CD7B734">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52" w:type="dxa"/>
            <w:shd w:val="clear" w:color="auto" w:fill="auto"/>
            <w:tcMar>
              <w:left w:w="108" w:type="dxa"/>
              <w:right w:w="108" w:type="dxa"/>
            </w:tcMar>
            <w:vAlign w:val="center"/>
          </w:tcPr>
          <w:p w14:paraId="6BFC861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C2B098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DF13E5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67CE2E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175535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C65BA4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9DC7AA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B217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14AE16FF">
            <w:pPr>
              <w:rPr>
                <w:rFonts w:ascii="黑体" w:hAnsi="黑体" w:eastAsia="黑体"/>
                <w:szCs w:val="21"/>
              </w:rPr>
            </w:pPr>
          </w:p>
        </w:tc>
        <w:tc>
          <w:tcPr>
            <w:tcW w:w="1699" w:type="dxa"/>
            <w:vMerge w:val="continue"/>
            <w:shd w:val="clear" w:color="auto" w:fill="auto"/>
            <w:tcMar>
              <w:left w:w="108" w:type="dxa"/>
              <w:right w:w="108" w:type="dxa"/>
            </w:tcMar>
            <w:vAlign w:val="center"/>
          </w:tcPr>
          <w:p w14:paraId="6CB1F4DB">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7F250100">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52" w:type="dxa"/>
            <w:shd w:val="clear" w:color="auto" w:fill="auto"/>
            <w:tcMar>
              <w:left w:w="108" w:type="dxa"/>
              <w:right w:w="108" w:type="dxa"/>
            </w:tcMar>
            <w:vAlign w:val="center"/>
          </w:tcPr>
          <w:p w14:paraId="4D07C62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878D2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FFBFCE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6E1301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1FF3CA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66CEB5B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60F17C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0581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56656F9">
            <w:pPr>
              <w:rPr>
                <w:rFonts w:ascii="黑体" w:hAnsi="黑体" w:eastAsia="黑体"/>
                <w:szCs w:val="21"/>
              </w:rPr>
            </w:pPr>
          </w:p>
        </w:tc>
        <w:tc>
          <w:tcPr>
            <w:tcW w:w="1699" w:type="dxa"/>
            <w:vMerge w:val="continue"/>
            <w:shd w:val="clear" w:color="auto" w:fill="auto"/>
            <w:tcMar>
              <w:left w:w="108" w:type="dxa"/>
              <w:right w:w="108" w:type="dxa"/>
            </w:tcMar>
            <w:vAlign w:val="center"/>
          </w:tcPr>
          <w:p w14:paraId="4FADCC69">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5FAEBA9B">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52" w:type="dxa"/>
            <w:shd w:val="clear" w:color="auto" w:fill="auto"/>
            <w:tcMar>
              <w:left w:w="108" w:type="dxa"/>
              <w:right w:w="108" w:type="dxa"/>
            </w:tcMar>
            <w:vAlign w:val="center"/>
          </w:tcPr>
          <w:p w14:paraId="1C95A77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9DB107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AD4F48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638FEF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972B6B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DEEB3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EB5B80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A6B5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1C71B40">
            <w:pPr>
              <w:rPr>
                <w:rFonts w:ascii="黑体" w:hAnsi="黑体" w:eastAsia="黑体"/>
                <w:szCs w:val="21"/>
              </w:rPr>
            </w:pPr>
          </w:p>
        </w:tc>
        <w:tc>
          <w:tcPr>
            <w:tcW w:w="1699" w:type="dxa"/>
            <w:vMerge w:val="continue"/>
            <w:shd w:val="clear" w:color="auto" w:fill="auto"/>
            <w:tcMar>
              <w:left w:w="108" w:type="dxa"/>
              <w:right w:w="108" w:type="dxa"/>
            </w:tcMar>
            <w:vAlign w:val="center"/>
          </w:tcPr>
          <w:p w14:paraId="1BE34620">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01AF5AC">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52" w:type="dxa"/>
            <w:shd w:val="clear" w:color="auto" w:fill="auto"/>
            <w:tcMar>
              <w:left w:w="108" w:type="dxa"/>
              <w:right w:w="108" w:type="dxa"/>
            </w:tcMar>
            <w:vAlign w:val="center"/>
          </w:tcPr>
          <w:p w14:paraId="2871EF7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757E3A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B240E9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4CB61D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6238733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949440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2FF961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B3C6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DC5B816">
            <w:pPr>
              <w:rPr>
                <w:rFonts w:ascii="黑体" w:hAnsi="黑体" w:eastAsia="黑体"/>
                <w:szCs w:val="21"/>
              </w:rPr>
            </w:pPr>
          </w:p>
        </w:tc>
        <w:tc>
          <w:tcPr>
            <w:tcW w:w="1699" w:type="dxa"/>
            <w:vMerge w:val="continue"/>
            <w:shd w:val="clear" w:color="auto" w:fill="auto"/>
            <w:tcMar>
              <w:left w:w="108" w:type="dxa"/>
              <w:right w:w="108" w:type="dxa"/>
            </w:tcMar>
            <w:vAlign w:val="center"/>
          </w:tcPr>
          <w:p w14:paraId="3E9D8973">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479D9DD2">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52" w:type="dxa"/>
            <w:shd w:val="clear" w:color="auto" w:fill="auto"/>
            <w:tcMar>
              <w:left w:w="108" w:type="dxa"/>
              <w:right w:w="108" w:type="dxa"/>
            </w:tcMar>
            <w:vAlign w:val="center"/>
          </w:tcPr>
          <w:p w14:paraId="214E651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A4D4E5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A9F78B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EEB884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328B08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7D32A9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CCC0D9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21FE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3BD61293">
            <w:pPr>
              <w:rPr>
                <w:rFonts w:ascii="黑体" w:hAnsi="黑体" w:eastAsia="黑体"/>
                <w:szCs w:val="21"/>
              </w:rPr>
            </w:pPr>
          </w:p>
        </w:tc>
        <w:tc>
          <w:tcPr>
            <w:tcW w:w="1699" w:type="dxa"/>
            <w:vMerge w:val="restart"/>
            <w:shd w:val="clear" w:color="auto" w:fill="auto"/>
            <w:tcMar>
              <w:left w:w="108" w:type="dxa"/>
              <w:right w:w="108" w:type="dxa"/>
            </w:tcMar>
            <w:vAlign w:val="center"/>
          </w:tcPr>
          <w:p w14:paraId="227E6414">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3" w:type="dxa"/>
            <w:shd w:val="clear" w:color="auto" w:fill="auto"/>
            <w:tcMar>
              <w:left w:w="108" w:type="dxa"/>
              <w:right w:w="108" w:type="dxa"/>
            </w:tcMar>
            <w:vAlign w:val="center"/>
          </w:tcPr>
          <w:p w14:paraId="508A0A84">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52" w:type="dxa"/>
            <w:shd w:val="clear" w:color="auto" w:fill="auto"/>
            <w:tcMar>
              <w:left w:w="108" w:type="dxa"/>
              <w:right w:w="108" w:type="dxa"/>
            </w:tcMar>
            <w:vAlign w:val="center"/>
          </w:tcPr>
          <w:p w14:paraId="628C1B8C">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4C06320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A26171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3B71F7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E40DE9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442497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4E6151C">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07DC6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771A43A5">
            <w:pPr>
              <w:rPr>
                <w:rFonts w:ascii="黑体" w:hAnsi="黑体" w:eastAsia="黑体"/>
                <w:szCs w:val="21"/>
              </w:rPr>
            </w:pPr>
          </w:p>
        </w:tc>
        <w:tc>
          <w:tcPr>
            <w:tcW w:w="1699" w:type="dxa"/>
            <w:vMerge w:val="continue"/>
            <w:shd w:val="clear" w:color="auto" w:fill="auto"/>
            <w:tcMar>
              <w:left w:w="108" w:type="dxa"/>
              <w:right w:w="108" w:type="dxa"/>
            </w:tcMar>
            <w:vAlign w:val="center"/>
          </w:tcPr>
          <w:p w14:paraId="18BCF176">
            <w:pPr>
              <w:spacing w:line="200" w:lineRule="exact"/>
              <w:ind w:left="-107" w:leftChars="-51"/>
              <w:rPr>
                <w:rFonts w:ascii="黑体" w:hAnsi="黑体" w:eastAsia="黑体"/>
                <w:szCs w:val="21"/>
              </w:rPr>
            </w:pPr>
          </w:p>
        </w:tc>
        <w:tc>
          <w:tcPr>
            <w:tcW w:w="2973" w:type="dxa"/>
            <w:shd w:val="clear" w:color="auto" w:fill="auto"/>
            <w:tcMar>
              <w:left w:w="108" w:type="dxa"/>
              <w:right w:w="108" w:type="dxa"/>
            </w:tcMar>
            <w:vAlign w:val="center"/>
          </w:tcPr>
          <w:p w14:paraId="1C49A243">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52" w:type="dxa"/>
            <w:shd w:val="clear" w:color="auto" w:fill="auto"/>
            <w:tcMar>
              <w:left w:w="108" w:type="dxa"/>
              <w:right w:w="108" w:type="dxa"/>
            </w:tcMar>
            <w:vAlign w:val="center"/>
          </w:tcPr>
          <w:p w14:paraId="0D1B841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5A665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EF8394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BCAEB2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CB4DD8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C1D710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2898DF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D5E70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55184F3E">
            <w:pPr>
              <w:rPr>
                <w:rFonts w:ascii="黑体" w:hAnsi="黑体" w:eastAsia="黑体"/>
                <w:szCs w:val="21"/>
              </w:rPr>
            </w:pPr>
          </w:p>
        </w:tc>
        <w:tc>
          <w:tcPr>
            <w:tcW w:w="1699" w:type="dxa"/>
            <w:vMerge w:val="continue"/>
            <w:shd w:val="clear" w:color="auto" w:fill="auto"/>
            <w:tcMar>
              <w:left w:w="108" w:type="dxa"/>
              <w:right w:w="108" w:type="dxa"/>
            </w:tcMar>
            <w:vAlign w:val="center"/>
          </w:tcPr>
          <w:p w14:paraId="2DA1F316">
            <w:pPr>
              <w:spacing w:line="200" w:lineRule="exact"/>
              <w:ind w:left="-107" w:leftChars="-51"/>
              <w:rPr>
                <w:rFonts w:ascii="黑体" w:hAnsi="黑体" w:eastAsia="黑体"/>
                <w:szCs w:val="21"/>
              </w:rPr>
            </w:pPr>
          </w:p>
        </w:tc>
        <w:tc>
          <w:tcPr>
            <w:tcW w:w="2973" w:type="dxa"/>
            <w:shd w:val="clear" w:color="auto" w:fill="auto"/>
            <w:tcMar>
              <w:left w:w="108" w:type="dxa"/>
              <w:right w:w="108" w:type="dxa"/>
            </w:tcMar>
            <w:vAlign w:val="center"/>
          </w:tcPr>
          <w:p w14:paraId="65BAAAF1">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52" w:type="dxa"/>
            <w:shd w:val="clear" w:color="auto" w:fill="auto"/>
            <w:tcMar>
              <w:left w:w="108" w:type="dxa"/>
              <w:right w:w="108" w:type="dxa"/>
            </w:tcMar>
            <w:vAlign w:val="center"/>
          </w:tcPr>
          <w:p w14:paraId="3788958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FCDDE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1F9087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AAF375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AB9CD0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256539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DAF278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EA5B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4FCE14C5">
            <w:pPr>
              <w:rPr>
                <w:rFonts w:ascii="黑体" w:hAnsi="黑体" w:eastAsia="黑体"/>
                <w:szCs w:val="21"/>
              </w:rPr>
            </w:pPr>
          </w:p>
        </w:tc>
        <w:tc>
          <w:tcPr>
            <w:tcW w:w="1699" w:type="dxa"/>
            <w:vMerge w:val="restart"/>
            <w:shd w:val="clear" w:color="auto" w:fill="auto"/>
            <w:tcMar>
              <w:left w:w="108" w:type="dxa"/>
              <w:right w:w="108" w:type="dxa"/>
            </w:tcMar>
            <w:vAlign w:val="center"/>
          </w:tcPr>
          <w:p w14:paraId="6DB2176A">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3" w:type="dxa"/>
            <w:shd w:val="clear" w:color="auto" w:fill="auto"/>
            <w:tcMar>
              <w:left w:w="108" w:type="dxa"/>
              <w:right w:w="108" w:type="dxa"/>
            </w:tcMar>
            <w:vAlign w:val="center"/>
          </w:tcPr>
          <w:p w14:paraId="189F65D6">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52" w:type="dxa"/>
            <w:shd w:val="clear" w:color="auto" w:fill="auto"/>
            <w:tcMar>
              <w:left w:w="108" w:type="dxa"/>
              <w:right w:w="108" w:type="dxa"/>
            </w:tcMar>
            <w:vAlign w:val="center"/>
          </w:tcPr>
          <w:p w14:paraId="1AF9976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6C8409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CD1B9A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7F3785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8CC49E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4AD1B3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523CA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F2E02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01823BA2">
            <w:pPr>
              <w:rPr>
                <w:rFonts w:ascii="黑体" w:hAnsi="黑体" w:eastAsia="黑体"/>
                <w:szCs w:val="21"/>
              </w:rPr>
            </w:pPr>
          </w:p>
        </w:tc>
        <w:tc>
          <w:tcPr>
            <w:tcW w:w="1699" w:type="dxa"/>
            <w:vMerge w:val="continue"/>
            <w:shd w:val="clear" w:color="auto" w:fill="auto"/>
            <w:tcMar>
              <w:left w:w="108" w:type="dxa"/>
              <w:right w:w="108" w:type="dxa"/>
            </w:tcMar>
            <w:vAlign w:val="center"/>
          </w:tcPr>
          <w:p w14:paraId="7E6378D2">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596EB84B">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52" w:type="dxa"/>
            <w:shd w:val="clear" w:color="auto" w:fill="auto"/>
            <w:tcMar>
              <w:left w:w="108" w:type="dxa"/>
              <w:right w:w="108" w:type="dxa"/>
            </w:tcMar>
            <w:vAlign w:val="center"/>
          </w:tcPr>
          <w:p w14:paraId="074C6E2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8ADC0C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0EF47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A100E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986C3D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04B12B7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B6F9F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0F73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shd w:val="clear" w:color="auto" w:fill="auto"/>
            <w:tcMar>
              <w:left w:w="108" w:type="dxa"/>
              <w:right w:w="108" w:type="dxa"/>
            </w:tcMar>
            <w:vAlign w:val="center"/>
          </w:tcPr>
          <w:p w14:paraId="68C7DFD0">
            <w:pPr>
              <w:rPr>
                <w:rFonts w:ascii="黑体" w:hAnsi="黑体" w:eastAsia="黑体"/>
                <w:szCs w:val="21"/>
              </w:rPr>
            </w:pPr>
          </w:p>
        </w:tc>
        <w:tc>
          <w:tcPr>
            <w:tcW w:w="1699" w:type="dxa"/>
            <w:vMerge w:val="continue"/>
            <w:shd w:val="clear" w:color="auto" w:fill="auto"/>
            <w:tcMar>
              <w:left w:w="108" w:type="dxa"/>
              <w:right w:w="108" w:type="dxa"/>
            </w:tcMar>
            <w:vAlign w:val="center"/>
          </w:tcPr>
          <w:p w14:paraId="2EACB082">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2DBF9667">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52" w:type="dxa"/>
            <w:shd w:val="clear" w:color="auto" w:fill="auto"/>
            <w:tcMar>
              <w:left w:w="108" w:type="dxa"/>
              <w:right w:w="108" w:type="dxa"/>
            </w:tcMar>
            <w:vAlign w:val="center"/>
          </w:tcPr>
          <w:p w14:paraId="66014A3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09ACE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4045BE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C5D2A3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6E55982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7A6AFFF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944D18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5B5C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shd w:val="clear" w:color="auto" w:fill="auto"/>
            <w:tcMar>
              <w:left w:w="108" w:type="dxa"/>
              <w:right w:w="108" w:type="dxa"/>
            </w:tcMar>
            <w:vAlign w:val="center"/>
          </w:tcPr>
          <w:p w14:paraId="592B3317">
            <w:pPr>
              <w:rPr>
                <w:rFonts w:ascii="黑体" w:hAnsi="黑体" w:eastAsia="黑体"/>
                <w:szCs w:val="21"/>
              </w:rPr>
            </w:pPr>
          </w:p>
        </w:tc>
        <w:tc>
          <w:tcPr>
            <w:tcW w:w="1699" w:type="dxa"/>
            <w:vMerge w:val="continue"/>
            <w:shd w:val="clear" w:color="auto" w:fill="auto"/>
            <w:tcMar>
              <w:left w:w="108" w:type="dxa"/>
              <w:right w:w="108" w:type="dxa"/>
            </w:tcMar>
            <w:vAlign w:val="center"/>
          </w:tcPr>
          <w:p w14:paraId="30FE0D49">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7302322E">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52" w:type="dxa"/>
            <w:shd w:val="clear" w:color="auto" w:fill="auto"/>
            <w:tcMar>
              <w:left w:w="108" w:type="dxa"/>
              <w:right w:w="108" w:type="dxa"/>
            </w:tcMar>
            <w:vAlign w:val="center"/>
          </w:tcPr>
          <w:p w14:paraId="3BBC14D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4011F6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70AF0D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4D639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0AEE97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74AAE9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156C3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3DB5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2C14B96D">
            <w:pPr>
              <w:rPr>
                <w:rFonts w:ascii="黑体" w:hAnsi="黑体" w:eastAsia="黑体"/>
                <w:szCs w:val="21"/>
              </w:rPr>
            </w:pPr>
          </w:p>
        </w:tc>
        <w:tc>
          <w:tcPr>
            <w:tcW w:w="1699" w:type="dxa"/>
            <w:vMerge w:val="continue"/>
            <w:shd w:val="clear" w:color="auto" w:fill="auto"/>
            <w:tcMar>
              <w:left w:w="108" w:type="dxa"/>
              <w:right w:w="108" w:type="dxa"/>
            </w:tcMar>
            <w:vAlign w:val="center"/>
          </w:tcPr>
          <w:p w14:paraId="22974F54">
            <w:pPr>
              <w:spacing w:line="200" w:lineRule="exact"/>
              <w:rPr>
                <w:rFonts w:ascii="黑体" w:hAnsi="黑体" w:eastAsia="黑体"/>
                <w:szCs w:val="21"/>
              </w:rPr>
            </w:pPr>
          </w:p>
        </w:tc>
        <w:tc>
          <w:tcPr>
            <w:tcW w:w="2973" w:type="dxa"/>
            <w:shd w:val="clear" w:color="auto" w:fill="auto"/>
            <w:tcMar>
              <w:left w:w="108" w:type="dxa"/>
              <w:right w:w="108" w:type="dxa"/>
            </w:tcMar>
            <w:vAlign w:val="center"/>
          </w:tcPr>
          <w:p w14:paraId="04D1D109">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7B5C3D88">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52" w:type="dxa"/>
            <w:shd w:val="clear" w:color="auto" w:fill="auto"/>
            <w:tcMar>
              <w:left w:w="108" w:type="dxa"/>
              <w:right w:w="108" w:type="dxa"/>
            </w:tcMar>
            <w:vAlign w:val="center"/>
          </w:tcPr>
          <w:p w14:paraId="0AA8CE8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BED2AB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027021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0EA40B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1D54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7D2B71B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8E45C1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E7F1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5B619AE8">
            <w:pPr>
              <w:rPr>
                <w:rFonts w:ascii="黑体" w:hAnsi="黑体" w:eastAsia="黑体"/>
                <w:szCs w:val="21"/>
              </w:rPr>
            </w:pPr>
          </w:p>
        </w:tc>
        <w:tc>
          <w:tcPr>
            <w:tcW w:w="1699" w:type="dxa"/>
            <w:vMerge w:val="restart"/>
            <w:shd w:val="clear" w:color="auto" w:fill="auto"/>
            <w:tcMar>
              <w:left w:w="108" w:type="dxa"/>
              <w:right w:w="108" w:type="dxa"/>
            </w:tcMar>
            <w:vAlign w:val="center"/>
          </w:tcPr>
          <w:p w14:paraId="42844C01">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3" w:type="dxa"/>
            <w:shd w:val="clear" w:color="auto" w:fill="auto"/>
            <w:vAlign w:val="center"/>
          </w:tcPr>
          <w:p w14:paraId="264A926F">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52" w:type="dxa"/>
            <w:shd w:val="clear" w:color="auto" w:fill="auto"/>
            <w:tcMar>
              <w:left w:w="108" w:type="dxa"/>
              <w:right w:w="108" w:type="dxa"/>
            </w:tcMar>
            <w:vAlign w:val="center"/>
          </w:tcPr>
          <w:p w14:paraId="36A263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5B978A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CD7668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817946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BF55D4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645DD8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F7FEE5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AD5F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3515A7DE">
            <w:pPr>
              <w:rPr>
                <w:rFonts w:ascii="黑体" w:hAnsi="黑体" w:eastAsia="黑体"/>
                <w:szCs w:val="21"/>
              </w:rPr>
            </w:pPr>
          </w:p>
        </w:tc>
        <w:tc>
          <w:tcPr>
            <w:tcW w:w="1699" w:type="dxa"/>
            <w:vMerge w:val="continue"/>
            <w:shd w:val="clear" w:color="auto" w:fill="auto"/>
            <w:tcMar>
              <w:left w:w="108" w:type="dxa"/>
              <w:right w:w="108" w:type="dxa"/>
            </w:tcMar>
            <w:vAlign w:val="center"/>
          </w:tcPr>
          <w:p w14:paraId="5588DC00">
            <w:pPr>
              <w:widowControl/>
              <w:spacing w:line="300" w:lineRule="exact"/>
              <w:rPr>
                <w:rFonts w:ascii="黑体" w:hAnsi="黑体" w:eastAsia="黑体"/>
                <w:kern w:val="0"/>
                <w:szCs w:val="21"/>
              </w:rPr>
            </w:pPr>
          </w:p>
        </w:tc>
        <w:tc>
          <w:tcPr>
            <w:tcW w:w="2973" w:type="dxa"/>
            <w:shd w:val="clear" w:color="auto" w:fill="auto"/>
            <w:vAlign w:val="center"/>
          </w:tcPr>
          <w:p w14:paraId="7FE95732">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52" w:type="dxa"/>
            <w:shd w:val="clear" w:color="auto" w:fill="auto"/>
            <w:tcMar>
              <w:left w:w="108" w:type="dxa"/>
              <w:right w:w="108" w:type="dxa"/>
            </w:tcMar>
            <w:vAlign w:val="center"/>
          </w:tcPr>
          <w:p w14:paraId="46E1E26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0B4C31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BE78A6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2BE26E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1CBE2BE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EDA768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E900E8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461A7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221EFC63">
            <w:pPr>
              <w:rPr>
                <w:rFonts w:ascii="黑体" w:hAnsi="黑体" w:eastAsia="黑体"/>
                <w:szCs w:val="21"/>
              </w:rPr>
            </w:pPr>
          </w:p>
        </w:tc>
        <w:tc>
          <w:tcPr>
            <w:tcW w:w="1699" w:type="dxa"/>
            <w:vMerge w:val="continue"/>
            <w:shd w:val="clear" w:color="auto" w:fill="auto"/>
            <w:tcMar>
              <w:left w:w="108" w:type="dxa"/>
              <w:right w:w="108" w:type="dxa"/>
            </w:tcMar>
            <w:vAlign w:val="center"/>
          </w:tcPr>
          <w:p w14:paraId="763E17CD">
            <w:pPr>
              <w:widowControl/>
              <w:spacing w:line="300" w:lineRule="exact"/>
              <w:rPr>
                <w:rFonts w:ascii="黑体" w:hAnsi="黑体" w:eastAsia="黑体"/>
                <w:kern w:val="0"/>
                <w:szCs w:val="21"/>
              </w:rPr>
            </w:pPr>
          </w:p>
        </w:tc>
        <w:tc>
          <w:tcPr>
            <w:tcW w:w="2973" w:type="dxa"/>
            <w:shd w:val="clear" w:color="auto" w:fill="auto"/>
            <w:vAlign w:val="center"/>
          </w:tcPr>
          <w:p w14:paraId="1693DAC7">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52" w:type="dxa"/>
            <w:shd w:val="clear" w:color="auto" w:fill="auto"/>
            <w:tcMar>
              <w:left w:w="108" w:type="dxa"/>
              <w:right w:w="108" w:type="dxa"/>
            </w:tcMar>
            <w:vAlign w:val="center"/>
          </w:tcPr>
          <w:p w14:paraId="5E434B3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A9F13B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A8507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0F4C0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9CBACC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D63DA2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21A4D0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2F2E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shd w:val="clear" w:color="auto" w:fill="auto"/>
            <w:tcMar>
              <w:left w:w="108" w:type="dxa"/>
              <w:right w:w="108" w:type="dxa"/>
            </w:tcMar>
            <w:vAlign w:val="center"/>
          </w:tcPr>
          <w:p w14:paraId="547D624F">
            <w:pPr>
              <w:rPr>
                <w:rFonts w:ascii="黑体" w:hAnsi="黑体" w:eastAsia="黑体"/>
                <w:szCs w:val="21"/>
              </w:rPr>
            </w:pPr>
          </w:p>
        </w:tc>
        <w:tc>
          <w:tcPr>
            <w:tcW w:w="4672" w:type="dxa"/>
            <w:gridSpan w:val="2"/>
            <w:shd w:val="clear" w:color="auto" w:fill="auto"/>
            <w:tcMar>
              <w:left w:w="108" w:type="dxa"/>
              <w:right w:w="108" w:type="dxa"/>
            </w:tcMar>
            <w:vAlign w:val="center"/>
          </w:tcPr>
          <w:p w14:paraId="3EE06810">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52" w:type="dxa"/>
            <w:shd w:val="clear" w:color="auto" w:fill="auto"/>
            <w:tcMar>
              <w:left w:w="108" w:type="dxa"/>
              <w:right w:w="108" w:type="dxa"/>
            </w:tcMar>
            <w:vAlign w:val="center"/>
          </w:tcPr>
          <w:p w14:paraId="7F9DCFA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540" w:type="dxa"/>
            <w:shd w:val="clear" w:color="auto" w:fill="auto"/>
            <w:tcMar>
              <w:left w:w="108" w:type="dxa"/>
              <w:right w:w="108" w:type="dxa"/>
            </w:tcMar>
            <w:vAlign w:val="center"/>
          </w:tcPr>
          <w:p w14:paraId="37A21A9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64ED0E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0F884B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11A466F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53F34D0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091AAC4">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r>
      <w:tr w14:paraId="589DE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7" w:type="dxa"/>
            <w:gridSpan w:val="3"/>
            <w:shd w:val="clear" w:color="auto" w:fill="auto"/>
            <w:tcMar>
              <w:left w:w="108" w:type="dxa"/>
              <w:right w:w="108" w:type="dxa"/>
            </w:tcMar>
            <w:vAlign w:val="center"/>
          </w:tcPr>
          <w:p w14:paraId="22543D64">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52" w:type="dxa"/>
            <w:shd w:val="clear" w:color="auto" w:fill="auto"/>
            <w:tcMar>
              <w:left w:w="108" w:type="dxa"/>
              <w:right w:w="108" w:type="dxa"/>
            </w:tcMar>
            <w:vAlign w:val="center"/>
          </w:tcPr>
          <w:p w14:paraId="48C4119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7B0232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C2C448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3C8BE6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E553BA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117CFA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118F18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bl>
    <w:p w14:paraId="01F4E98B">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宋体" w:eastAsia="黑体" w:cs="黑体"/>
          <w:color w:val="auto"/>
          <w:sz w:val="32"/>
          <w:szCs w:val="32"/>
        </w:rPr>
      </w:pPr>
      <w:r>
        <w:rPr>
          <w:rFonts w:hint="eastAsia" w:ascii="黑体" w:hAnsi="宋体" w:eastAsia="黑体" w:cs="黑体"/>
          <w:color w:val="auto"/>
          <w:sz w:val="32"/>
          <w:szCs w:val="32"/>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1437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1F7609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999CFC">
            <w:pPr>
              <w:widowControl/>
              <w:jc w:val="center"/>
              <w:rPr>
                <w:rFonts w:ascii="黑体" w:hAnsi="黑体" w:eastAsia="黑体"/>
              </w:rPr>
            </w:pPr>
            <w:r>
              <w:rPr>
                <w:rFonts w:ascii="黑体" w:hAnsi="黑体" w:eastAsia="黑体"/>
                <w:kern w:val="0"/>
                <w:sz w:val="20"/>
              </w:rPr>
              <w:t>行政诉讼</w:t>
            </w:r>
          </w:p>
        </w:tc>
      </w:tr>
      <w:tr w14:paraId="722AA9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4B88B4">
            <w:pPr>
              <w:widowControl/>
              <w:ind w:left="-149" w:leftChars="-71" w:right="-170" w:rightChars="-81"/>
              <w:jc w:val="center"/>
              <w:rPr>
                <w:rFonts w:ascii="黑体" w:hAnsi="黑体" w:eastAsia="黑体"/>
                <w:kern w:val="0"/>
                <w:sz w:val="20"/>
              </w:rPr>
            </w:pPr>
            <w:r>
              <w:rPr>
                <w:rFonts w:ascii="黑体" w:hAnsi="黑体" w:eastAsia="黑体"/>
                <w:kern w:val="0"/>
                <w:sz w:val="20"/>
              </w:rPr>
              <w:t>结果</w:t>
            </w:r>
          </w:p>
          <w:p w14:paraId="19DC4749">
            <w:pPr>
              <w:widowControl/>
              <w:ind w:left="-149" w:leftChars="-71" w:right="-170"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D48D9A3">
            <w:pPr>
              <w:widowControl/>
              <w:ind w:left="-43" w:leftChars="-21" w:right="-132"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C17E85D">
            <w:pPr>
              <w:widowControl/>
              <w:ind w:left="-82" w:leftChars="-39" w:right="-97"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9B9230">
            <w:pPr>
              <w:widowControl/>
              <w:ind w:left="-118" w:leftChars="-56" w:right="-118" w:rightChars="-56"/>
              <w:jc w:val="center"/>
              <w:rPr>
                <w:rFonts w:ascii="黑体" w:hAnsi="黑体" w:eastAsia="黑体"/>
                <w:kern w:val="0"/>
                <w:sz w:val="20"/>
              </w:rPr>
            </w:pPr>
            <w:r>
              <w:rPr>
                <w:rFonts w:ascii="黑体" w:hAnsi="黑体" w:eastAsia="黑体"/>
                <w:kern w:val="0"/>
                <w:sz w:val="20"/>
              </w:rPr>
              <w:t>尚未</w:t>
            </w:r>
          </w:p>
          <w:p w14:paraId="6D90335D">
            <w:pPr>
              <w:widowControl/>
              <w:ind w:left="-118" w:leftChars="-56" w:right="-118"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ABFEF3">
            <w:pPr>
              <w:widowControl/>
              <w:spacing w:line="320" w:lineRule="exact"/>
              <w:jc w:val="center"/>
              <w:rPr>
                <w:rFonts w:ascii="黑体" w:hAnsi="黑体" w:eastAsia="黑体"/>
                <w:kern w:val="0"/>
                <w:sz w:val="20"/>
              </w:rPr>
            </w:pPr>
            <w:r>
              <w:rPr>
                <w:rFonts w:ascii="黑体" w:hAnsi="黑体" w:eastAsia="黑体"/>
                <w:kern w:val="0"/>
                <w:sz w:val="20"/>
              </w:rPr>
              <w:t>总</w:t>
            </w:r>
          </w:p>
          <w:p w14:paraId="41FA97BA">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619EDC">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CF0DAD">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6C700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B63BB7">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7D0C85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EA8616">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43DF19">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E190BA">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6EA7993">
            <w:pPr>
              <w:widowControl/>
              <w:ind w:left="-105" w:leftChars="-50" w:right="-126"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C53F825">
            <w:pPr>
              <w:widowControl/>
              <w:ind w:left="-86" w:leftChars="-41" w:right="-88"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84D8B22">
            <w:pPr>
              <w:widowControl/>
              <w:ind w:left="-126" w:leftChars="-60" w:right="-136" w:rightChars="-65"/>
              <w:jc w:val="center"/>
              <w:rPr>
                <w:rFonts w:ascii="黑体" w:hAnsi="黑体" w:eastAsia="黑体"/>
                <w:kern w:val="0"/>
                <w:sz w:val="20"/>
              </w:rPr>
            </w:pPr>
            <w:r>
              <w:rPr>
                <w:rFonts w:ascii="黑体" w:hAnsi="黑体" w:eastAsia="黑体"/>
                <w:kern w:val="0"/>
                <w:sz w:val="20"/>
              </w:rPr>
              <w:t>其他</w:t>
            </w:r>
          </w:p>
          <w:p w14:paraId="44C34A6A">
            <w:pPr>
              <w:widowControl/>
              <w:ind w:left="-126" w:leftChars="-60" w:right="-136"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77FD00">
            <w:pPr>
              <w:widowControl/>
              <w:ind w:left="-164" w:leftChars="-78" w:right="-153" w:rightChars="-73"/>
              <w:jc w:val="center"/>
              <w:rPr>
                <w:rFonts w:ascii="黑体" w:hAnsi="黑体" w:eastAsia="黑体"/>
                <w:kern w:val="0"/>
                <w:sz w:val="20"/>
              </w:rPr>
            </w:pPr>
            <w:r>
              <w:rPr>
                <w:rFonts w:ascii="黑体" w:hAnsi="黑体" w:eastAsia="黑体"/>
                <w:kern w:val="0"/>
                <w:sz w:val="20"/>
              </w:rPr>
              <w:t>尚未</w:t>
            </w:r>
          </w:p>
          <w:p w14:paraId="23631C64">
            <w:pPr>
              <w:widowControl/>
              <w:ind w:left="-164" w:leftChars="-78" w:right="-153"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D1F1DF">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0067E8">
            <w:pPr>
              <w:widowControl/>
              <w:ind w:left="-99" w:leftChars="-47" w:right="-78"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28EF16">
            <w:pPr>
              <w:widowControl/>
              <w:ind w:left="-136" w:leftChars="-65" w:right="-124" w:rightChars="-59"/>
              <w:jc w:val="center"/>
              <w:rPr>
                <w:rFonts w:ascii="黑体" w:hAnsi="黑体" w:eastAsia="黑体"/>
                <w:kern w:val="0"/>
                <w:sz w:val="20"/>
              </w:rPr>
            </w:pPr>
            <w:r>
              <w:rPr>
                <w:rFonts w:ascii="黑体" w:hAnsi="黑体" w:eastAsia="黑体"/>
                <w:kern w:val="0"/>
                <w:sz w:val="20"/>
              </w:rPr>
              <w:t>结果</w:t>
            </w:r>
          </w:p>
          <w:p w14:paraId="61B2CC2A">
            <w:pPr>
              <w:widowControl/>
              <w:ind w:left="-136" w:leftChars="-65" w:right="-124"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91F3ED">
            <w:pPr>
              <w:widowControl/>
              <w:ind w:left="-173" w:leftChars="-83" w:right="-134" w:rightChars="-64" w:hanging="1"/>
              <w:jc w:val="center"/>
              <w:rPr>
                <w:rFonts w:ascii="黑体" w:hAnsi="黑体" w:eastAsia="黑体"/>
                <w:kern w:val="0"/>
                <w:sz w:val="20"/>
              </w:rPr>
            </w:pPr>
            <w:r>
              <w:rPr>
                <w:rFonts w:ascii="黑体" w:hAnsi="黑体" w:eastAsia="黑体"/>
                <w:kern w:val="0"/>
                <w:sz w:val="20"/>
              </w:rPr>
              <w:t>其他</w:t>
            </w:r>
          </w:p>
          <w:p w14:paraId="225E8145">
            <w:pPr>
              <w:widowControl/>
              <w:ind w:left="-173" w:leftChars="-83" w:right="-134"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C0ECD0">
            <w:pPr>
              <w:widowControl/>
              <w:ind w:left="-67" w:leftChars="-33" w:right="-105"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39033E">
            <w:pPr>
              <w:widowControl/>
              <w:jc w:val="center"/>
              <w:rPr>
                <w:rFonts w:ascii="黑体" w:hAnsi="黑体" w:eastAsia="黑体"/>
              </w:rPr>
            </w:pPr>
            <w:r>
              <w:rPr>
                <w:rFonts w:ascii="黑体" w:hAnsi="黑体" w:eastAsia="黑体"/>
                <w:kern w:val="0"/>
                <w:sz w:val="20"/>
              </w:rPr>
              <w:t>总计</w:t>
            </w:r>
          </w:p>
        </w:tc>
      </w:tr>
      <w:tr w14:paraId="2A46CB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CB8AFB7">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B96C668">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3AB5966">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1065CAD">
            <w:pPr>
              <w:widowControl/>
              <w:spacing w:after="180"/>
              <w:jc w:val="center"/>
            </w:pPr>
            <w:r>
              <w:rPr>
                <w:rFonts w:hint="eastAsia"/>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101BA2F4">
            <w:pPr>
              <w:widowControl/>
              <w:spacing w:after="180"/>
              <w:jc w:val="center"/>
            </w:pPr>
            <w:r>
              <w:rPr>
                <w:rFonts w:hint="eastAsia"/>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6F96E2D">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4B20254">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5623622">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E3405C5">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546C355">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F8677AF">
            <w:pPr>
              <w:widowControl/>
              <w:spacing w:after="180"/>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0431120">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66586D9">
            <w:pPr>
              <w:widowControl/>
              <w:spacing w:after="180"/>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B9A20F0">
            <w:pPr>
              <w:widowControl/>
              <w:spacing w:after="180"/>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2067CF5">
            <w:pPr>
              <w:widowControl/>
              <w:spacing w:after="180"/>
              <w:jc w:val="center"/>
            </w:pPr>
            <w:r>
              <w:rPr>
                <w:rFonts w:hint="eastAsia"/>
              </w:rPr>
              <w:t>0</w:t>
            </w:r>
          </w:p>
        </w:tc>
      </w:tr>
    </w:tbl>
    <w:p w14:paraId="6C7BD342">
      <w:pPr>
        <w:pStyle w:val="2"/>
        <w:widowControl/>
        <w:spacing w:beforeAutospacing="0" w:afterAutospacing="0" w:line="560" w:lineRule="exact"/>
        <w:ind w:firstLine="640" w:firstLineChars="200"/>
        <w:rPr>
          <w:color w:val="auto"/>
          <w:sz w:val="32"/>
          <w:szCs w:val="32"/>
        </w:rPr>
      </w:pPr>
      <w:r>
        <w:rPr>
          <w:rFonts w:hint="eastAsia" w:ascii="黑体" w:hAnsi="宋体" w:eastAsia="黑体" w:cs="黑体"/>
          <w:color w:val="auto"/>
          <w:sz w:val="32"/>
          <w:szCs w:val="32"/>
        </w:rPr>
        <w:t>五、存在的主要问题及改进情况</w:t>
      </w:r>
    </w:p>
    <w:p w14:paraId="3BFD85F6">
      <w:pPr>
        <w:pStyle w:val="2"/>
        <w:widowControl/>
        <w:spacing w:beforeAutospacing="0" w:afterAutospacing="0" w:line="560" w:lineRule="exact"/>
        <w:ind w:firstLine="640" w:firstLineChars="200"/>
        <w:rPr>
          <w:rFonts w:hint="default"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rPr>
        <w:t>202</w:t>
      </w:r>
      <w:r>
        <w:rPr>
          <w:rFonts w:hint="eastAsia" w:ascii="仿宋_GB2312" w:eastAsia="仿宋_GB2312" w:cs="仿宋_GB2312"/>
          <w:color w:val="auto"/>
          <w:sz w:val="32"/>
          <w:szCs w:val="32"/>
          <w:highlight w:val="none"/>
          <w:lang w:val="en-US" w:eastAsia="zh-CN"/>
        </w:rPr>
        <w:t>5</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区</w:t>
      </w:r>
      <w:r>
        <w:rPr>
          <w:rFonts w:hint="eastAsia" w:ascii="仿宋_GB2312" w:eastAsia="仿宋_GB2312" w:cs="仿宋_GB2312"/>
          <w:color w:val="auto"/>
          <w:sz w:val="32"/>
          <w:szCs w:val="32"/>
          <w:highlight w:val="none"/>
        </w:rPr>
        <w:t>交通运输局</w:t>
      </w:r>
      <w:r>
        <w:rPr>
          <w:rFonts w:hint="eastAsia" w:ascii="仿宋_GB2312" w:eastAsia="仿宋_GB2312" w:cs="仿宋_GB2312"/>
          <w:color w:val="auto"/>
          <w:sz w:val="32"/>
          <w:szCs w:val="32"/>
          <w:highlight w:val="none"/>
          <w:lang w:val="en-US" w:eastAsia="zh-CN"/>
        </w:rPr>
        <w:t>的</w:t>
      </w:r>
      <w:r>
        <w:rPr>
          <w:rFonts w:hint="eastAsia" w:ascii="仿宋_GB2312" w:eastAsia="仿宋_GB2312" w:cs="仿宋_GB2312"/>
          <w:color w:val="auto"/>
          <w:sz w:val="32"/>
          <w:szCs w:val="32"/>
          <w:highlight w:val="none"/>
        </w:rPr>
        <w:t>信息公开工作虽然取得一定成效，但仍存在一些不足，主要表现在政府信息公开工作不够全面，更新不够及时，公开质量还待进步</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政府信息</w:t>
      </w:r>
      <w:r>
        <w:rPr>
          <w:rFonts w:hint="eastAsia" w:ascii="仿宋_GB2312" w:eastAsia="仿宋_GB2312" w:cs="仿宋_GB2312"/>
          <w:color w:val="auto"/>
          <w:sz w:val="32"/>
          <w:szCs w:val="32"/>
          <w:highlight w:val="none"/>
        </w:rPr>
        <w:t>公开</w:t>
      </w:r>
      <w:r>
        <w:rPr>
          <w:rFonts w:hint="eastAsia" w:ascii="仿宋_GB2312" w:eastAsia="仿宋_GB2312" w:cs="仿宋_GB2312"/>
          <w:color w:val="auto"/>
          <w:sz w:val="32"/>
          <w:szCs w:val="32"/>
          <w:highlight w:val="none"/>
          <w:lang w:val="en-US" w:eastAsia="zh-CN"/>
        </w:rPr>
        <w:t>宣传</w:t>
      </w:r>
      <w:r>
        <w:rPr>
          <w:rFonts w:hint="eastAsia" w:ascii="仿宋_GB2312" w:eastAsia="仿宋_GB2312" w:cs="仿宋_GB2312"/>
          <w:color w:val="auto"/>
          <w:sz w:val="32"/>
          <w:szCs w:val="32"/>
          <w:highlight w:val="none"/>
        </w:rPr>
        <w:t>渠道</w:t>
      </w:r>
      <w:r>
        <w:rPr>
          <w:rFonts w:hint="eastAsia" w:ascii="仿宋_GB2312" w:eastAsia="仿宋_GB2312" w:cs="仿宋_GB2312"/>
          <w:color w:val="auto"/>
          <w:sz w:val="32"/>
          <w:szCs w:val="32"/>
          <w:highlight w:val="none"/>
          <w:lang w:val="en-US" w:eastAsia="zh-CN"/>
        </w:rPr>
        <w:t>有待</w:t>
      </w:r>
      <w:r>
        <w:rPr>
          <w:rFonts w:hint="eastAsia" w:ascii="仿宋_GB2312" w:eastAsia="仿宋_GB2312" w:cs="仿宋_GB2312"/>
          <w:color w:val="auto"/>
          <w:sz w:val="32"/>
          <w:szCs w:val="32"/>
          <w:highlight w:val="none"/>
        </w:rPr>
        <w:t>进一步拓宽等问题</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需要在今后工作中加以改正。</w:t>
      </w:r>
    </w:p>
    <w:p w14:paraId="7B570579">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val="en-US" w:eastAsia="zh-CN"/>
        </w:rPr>
        <w:t>下一步，我局将继续加强宣传教育，提高全系统干部职工对政府信息公开工作的认识和重视程度，进一步健全和完善政府信息公开机制，推进政务公开标准化规范化建设，依法做好政务公开工作。一是加强政府信息公开及专业知识工作培训，不断提升政策解读工作水平，持续提高政策解读能力，提升政策解读质量和数量。</w:t>
      </w:r>
      <w:r>
        <w:rPr>
          <w:rFonts w:hint="eastAsia" w:ascii="仿宋_GB2312" w:eastAsia="仿宋_GB2312" w:cs="仿宋_GB2312"/>
          <w:color w:val="000000" w:themeColor="text1"/>
          <w:sz w:val="32"/>
          <w:szCs w:val="32"/>
          <w:highlight w:val="none"/>
          <w:lang w:eastAsia="zh-CN"/>
          <w14:textFill>
            <w14:solidFill>
              <w14:schemeClr w14:val="tx1"/>
            </w14:solidFill>
          </w14:textFill>
        </w:rPr>
        <w:t>二是丰富信息公开内容，结合区政府重点领域信息公开工作，同时借鉴其他优秀网站做法，加强对交通运输行业重点工作的梳理，坚持把群众最关心、最需了解的事项作为政务公开的重点，及时准确发布信息。三是强化政务公开队伍建设，对政务公开工作人员定期进行业务培训，规范公开程序，严格落实“三审三校”制度，规范信息发布格式，提升业务水平。</w:t>
      </w:r>
    </w:p>
    <w:p w14:paraId="3305167B">
      <w:pPr>
        <w:pStyle w:val="2"/>
        <w:widowControl/>
        <w:shd w:val="clear" w:color="auto" w:fill="FFFFFF"/>
        <w:spacing w:beforeAutospacing="0" w:afterAutospacing="0" w:line="560" w:lineRule="exact"/>
        <w:ind w:firstLine="640" w:firstLineChars="200"/>
        <w:rPr>
          <w:color w:val="auto"/>
          <w:sz w:val="32"/>
          <w:szCs w:val="32"/>
        </w:rPr>
      </w:pPr>
      <w:r>
        <w:rPr>
          <w:rFonts w:hint="eastAsia" w:ascii="黑体" w:hAnsi="宋体" w:eastAsia="黑体" w:cs="黑体"/>
          <w:color w:val="auto"/>
          <w:sz w:val="32"/>
          <w:szCs w:val="32"/>
          <w:shd w:val="clear" w:color="auto" w:fill="FFFFFF"/>
        </w:rPr>
        <w:t>六、其他需要报告的事项</w:t>
      </w:r>
    </w:p>
    <w:p w14:paraId="45279AB3">
      <w:pPr>
        <w:pStyle w:val="2"/>
        <w:widowControl/>
        <w:spacing w:beforeAutospacing="0" w:afterAutospacing="0" w:line="560" w:lineRule="exact"/>
        <w:ind w:firstLine="640" w:firstLineChars="200"/>
        <w:rPr>
          <w:color w:val="auto"/>
          <w:sz w:val="32"/>
          <w:szCs w:val="32"/>
        </w:rPr>
      </w:pPr>
      <w:r>
        <w:rPr>
          <w:rFonts w:ascii="楷体" w:hAnsi="楷体" w:eastAsia="楷体" w:cs="楷体"/>
          <w:color w:val="auto"/>
          <w:sz w:val="32"/>
          <w:szCs w:val="32"/>
          <w:shd w:val="clear" w:color="auto" w:fill="FFFFFF"/>
        </w:rPr>
        <w:t>一是收取信息处理费情况方面</w:t>
      </w:r>
      <w:r>
        <w:rPr>
          <w:rFonts w:hint="eastAsia" w:ascii="仿宋_GB2312" w:eastAsia="仿宋_GB2312" w:cs="仿宋_GB2312"/>
          <w:color w:val="auto"/>
          <w:sz w:val="32"/>
          <w:szCs w:val="32"/>
          <w:shd w:val="clear" w:color="auto" w:fill="FFFFFF"/>
        </w:rPr>
        <w:t>。202</w:t>
      </w:r>
      <w:r>
        <w:rPr>
          <w:rFonts w:hint="eastAsia" w:ascii="仿宋_GB2312" w:eastAsia="仿宋_GB2312" w:cs="仿宋_GB2312"/>
          <w:color w:val="auto"/>
          <w:sz w:val="32"/>
          <w:szCs w:val="32"/>
          <w:shd w:val="clear" w:color="auto" w:fill="FFFFFF"/>
          <w:lang w:val="en-US" w:eastAsia="zh-CN"/>
        </w:rPr>
        <w:t>5</w:t>
      </w:r>
      <w:r>
        <w:rPr>
          <w:rFonts w:hint="eastAsia" w:ascii="仿宋_GB2312" w:eastAsia="仿宋_GB2312" w:cs="仿宋_GB2312"/>
          <w:color w:val="auto"/>
          <w:sz w:val="32"/>
          <w:szCs w:val="32"/>
        </w:rPr>
        <w:t>年，区交通运输局不存在因信息处理收取相关费用的情况。</w:t>
      </w:r>
    </w:p>
    <w:p w14:paraId="1D41BF5E">
      <w:pPr>
        <w:pStyle w:val="2"/>
        <w:widowControl/>
        <w:spacing w:beforeAutospacing="0" w:afterAutospacing="0" w:line="560" w:lineRule="exact"/>
        <w:ind w:firstLine="640" w:firstLineChars="200"/>
        <w:rPr>
          <w:color w:val="auto"/>
          <w:sz w:val="32"/>
          <w:szCs w:val="32"/>
        </w:rPr>
      </w:pPr>
      <w:r>
        <w:rPr>
          <w:rFonts w:hint="eastAsia" w:ascii="楷体" w:hAnsi="楷体" w:eastAsia="楷体" w:cs="楷体"/>
          <w:color w:val="auto"/>
          <w:sz w:val="32"/>
          <w:szCs w:val="32"/>
          <w:shd w:val="clear" w:color="auto" w:fill="FFFFFF"/>
        </w:rPr>
        <w:t>二是落实上级年度政务公开工作要点情况</w:t>
      </w:r>
      <w:r>
        <w:rPr>
          <w:rFonts w:hint="eastAsia" w:ascii="仿宋_GB2312" w:eastAsia="仿宋_GB2312" w:cs="仿宋_GB2312"/>
          <w:color w:val="auto"/>
          <w:sz w:val="32"/>
          <w:szCs w:val="32"/>
          <w:shd w:val="clear" w:color="auto" w:fill="FFFFFF"/>
        </w:rPr>
        <w:t>。</w:t>
      </w:r>
      <w:r>
        <w:rPr>
          <w:rFonts w:hint="eastAsia" w:ascii="仿宋_GB2312" w:eastAsia="仿宋_GB2312" w:cs="仿宋_GB2312"/>
          <w:color w:val="auto"/>
          <w:sz w:val="32"/>
          <w:szCs w:val="32"/>
        </w:rPr>
        <w:t>按上级要求维护更新政务信息，做好政务公开工作，对各科室上报的政务资源信息目录进行审核、督促。牵头做好数据资源挂接工作，做到应传尽传，数据详实，依据充分。今年在区政府网站发布各类信息</w:t>
      </w:r>
      <w:r>
        <w:rPr>
          <w:rFonts w:hint="eastAsia" w:ascii="仿宋_GB2312" w:eastAsia="仿宋_GB2312" w:cs="仿宋_GB2312"/>
          <w:color w:val="auto"/>
          <w:sz w:val="32"/>
          <w:szCs w:val="32"/>
          <w:lang w:val="en-US" w:eastAsia="zh-CN"/>
        </w:rPr>
        <w:t>105</w:t>
      </w:r>
      <w:r>
        <w:rPr>
          <w:rFonts w:hint="eastAsia" w:ascii="仿宋_GB2312" w:eastAsia="仿宋_GB2312" w:cs="仿宋_GB2312"/>
          <w:color w:val="auto"/>
          <w:sz w:val="32"/>
          <w:szCs w:val="32"/>
        </w:rPr>
        <w:t>条。</w:t>
      </w:r>
    </w:p>
    <w:p w14:paraId="465CCEE9">
      <w:pPr>
        <w:pStyle w:val="2"/>
        <w:widowControl/>
        <w:spacing w:beforeAutospacing="0" w:afterAutospacing="0" w:line="560" w:lineRule="exact"/>
        <w:ind w:firstLine="640" w:firstLineChars="200"/>
        <w:rPr>
          <w:color w:val="auto"/>
          <w:sz w:val="32"/>
          <w:szCs w:val="32"/>
        </w:rPr>
      </w:pPr>
      <w:r>
        <w:rPr>
          <w:rFonts w:hint="eastAsia" w:ascii="楷体" w:hAnsi="楷体" w:eastAsia="楷体" w:cs="楷体"/>
          <w:color w:val="auto"/>
          <w:sz w:val="32"/>
          <w:szCs w:val="32"/>
          <w:shd w:val="clear" w:color="auto" w:fill="FFFFFF"/>
        </w:rPr>
        <w:t>三是人大代表建议和政协提案办理结果公开情况</w:t>
      </w:r>
      <w:r>
        <w:rPr>
          <w:rFonts w:hint="eastAsia" w:ascii="仿宋_GB2312" w:eastAsia="仿宋_GB2312" w:cs="仿宋_GB2312"/>
          <w:color w:val="auto"/>
          <w:sz w:val="32"/>
          <w:szCs w:val="32"/>
          <w:shd w:val="clear" w:color="auto" w:fill="FFFFFF"/>
        </w:rPr>
        <w:t>。</w:t>
      </w:r>
      <w:r>
        <w:rPr>
          <w:rFonts w:hint="eastAsia" w:ascii="仿宋_GB2312" w:eastAsia="仿宋_GB2312" w:cs="仿宋_GB2312"/>
          <w:color w:val="auto"/>
          <w:sz w:val="32"/>
          <w:szCs w:val="32"/>
        </w:rPr>
        <w:t>制定《区交通运输局人大建议及政协提案办理工作方案》，成立工作领导小组，认真做好市区建议、提案的答复办理工作。与代表委员电话沟通或见面座谈，听取意见建议。今年我局共收到市区两级建议提案</w:t>
      </w:r>
      <w:r>
        <w:rPr>
          <w:rFonts w:hint="eastAsia" w:ascii="仿宋_GB2312" w:eastAsia="仿宋_GB2312" w:cs="仿宋_GB2312"/>
          <w:color w:val="auto"/>
          <w:sz w:val="32"/>
          <w:szCs w:val="32"/>
          <w:lang w:val="en-US" w:eastAsia="zh-CN"/>
        </w:rPr>
        <w:t>15</w:t>
      </w:r>
      <w:r>
        <w:rPr>
          <w:rFonts w:hint="eastAsia" w:ascii="仿宋_GB2312" w:eastAsia="仿宋_GB2312" w:cs="仿宋_GB2312"/>
          <w:color w:val="auto"/>
          <w:sz w:val="32"/>
          <w:szCs w:val="32"/>
        </w:rPr>
        <w:t>件，其中涉及农村公路道路建设管理养护类</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件，道路运输行业管理类</w:t>
      </w:r>
      <w:r>
        <w:rPr>
          <w:rFonts w:hint="eastAsia" w:ascii="仿宋_GB2312" w:eastAsia="仿宋_GB2312" w:cs="仿宋_GB2312"/>
          <w:color w:val="auto"/>
          <w:sz w:val="32"/>
          <w:szCs w:val="32"/>
          <w:lang w:val="en-US" w:eastAsia="zh-CN"/>
        </w:rPr>
        <w:t>10</w:t>
      </w:r>
      <w:r>
        <w:rPr>
          <w:rFonts w:hint="eastAsia" w:ascii="仿宋_GB2312" w:eastAsia="仿宋_GB2312" w:cs="仿宋_GB2312"/>
          <w:color w:val="auto"/>
          <w:sz w:val="32"/>
          <w:szCs w:val="32"/>
        </w:rPr>
        <w:t>件，已全部答复完成，回访满意率100%，相关结果已在区政府门户网站建议提案办理栏目进行公开。</w:t>
      </w:r>
    </w:p>
    <w:p w14:paraId="1DEA2863">
      <w:pPr>
        <w:pStyle w:val="2"/>
        <w:widowControl/>
        <w:spacing w:beforeAutospacing="0" w:afterAutospacing="0" w:line="560" w:lineRule="exact"/>
        <w:ind w:firstLine="640" w:firstLineChars="200"/>
        <w:rPr>
          <w:color w:val="auto"/>
          <w:sz w:val="32"/>
          <w:szCs w:val="32"/>
        </w:rPr>
      </w:pPr>
      <w:r>
        <w:rPr>
          <w:rFonts w:hint="eastAsia" w:ascii="楷体" w:hAnsi="楷体" w:eastAsia="楷体" w:cs="楷体"/>
          <w:color w:val="auto"/>
          <w:sz w:val="32"/>
          <w:szCs w:val="32"/>
          <w:shd w:val="clear" w:color="auto" w:fill="FFFFFF"/>
        </w:rPr>
        <w:t>四是政务公开工作创新情况：</w:t>
      </w:r>
      <w:r>
        <w:rPr>
          <w:rFonts w:hint="eastAsia" w:ascii="仿宋_GB2312" w:eastAsia="仿宋_GB2312" w:cs="仿宋_GB2312"/>
          <w:color w:val="auto"/>
          <w:sz w:val="32"/>
          <w:szCs w:val="32"/>
          <w:shd w:val="clear" w:color="auto" w:fill="FFFFFF"/>
        </w:rPr>
        <w:t>无</w:t>
      </w:r>
      <w:r>
        <w:rPr>
          <w:rFonts w:hint="eastAsia" w:ascii="仿宋_GB2312" w:eastAsia="仿宋_GB2312" w:cs="仿宋_GB2312"/>
          <w:color w:val="auto"/>
          <w:sz w:val="32"/>
          <w:szCs w:val="32"/>
        </w:rPr>
        <w:t>。</w:t>
      </w:r>
    </w:p>
    <w:p w14:paraId="085013FF">
      <w:pPr>
        <w:pStyle w:val="2"/>
        <w:widowControl/>
        <w:spacing w:beforeAutospacing="0" w:afterAutospacing="0" w:line="560" w:lineRule="exact"/>
        <w:ind w:firstLine="640" w:firstLineChars="200"/>
        <w:rPr>
          <w:color w:val="auto"/>
          <w:sz w:val="32"/>
          <w:szCs w:val="32"/>
        </w:rPr>
      </w:pPr>
      <w:r>
        <w:rPr>
          <w:rFonts w:hint="eastAsia" w:ascii="楷体" w:hAnsi="楷体" w:eastAsia="楷体" w:cs="楷体"/>
          <w:color w:val="auto"/>
          <w:sz w:val="32"/>
          <w:szCs w:val="32"/>
          <w:shd w:val="clear" w:color="auto" w:fill="FFFFFF"/>
        </w:rPr>
        <w:t>五是本行政机关政府信息公开工作年度报告数据统计需要说明的事项</w:t>
      </w:r>
      <w:r>
        <w:rPr>
          <w:rFonts w:hint="eastAsia" w:ascii="仿宋_GB2312" w:eastAsia="仿宋_GB2312" w:cs="仿宋_GB2312"/>
          <w:color w:val="auto"/>
          <w:sz w:val="32"/>
          <w:szCs w:val="32"/>
          <w:shd w:val="clear" w:color="auto" w:fill="FFFFFF"/>
        </w:rPr>
        <w:t>。</w:t>
      </w:r>
      <w:r>
        <w:rPr>
          <w:rFonts w:hint="eastAsia" w:ascii="仿宋_GB2312" w:eastAsia="仿宋_GB2312" w:cs="仿宋_GB2312"/>
          <w:color w:val="auto"/>
          <w:sz w:val="32"/>
          <w:szCs w:val="32"/>
        </w:rPr>
        <w:t>报告中所列数据的统计期限自202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年1月1日起至202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年12月31日止。</w:t>
      </w:r>
    </w:p>
    <w:p w14:paraId="48968C25">
      <w:pPr>
        <w:pStyle w:val="2"/>
        <w:widowControl/>
        <w:spacing w:beforeAutospacing="0" w:afterAutospacing="0" w:line="560" w:lineRule="exact"/>
        <w:ind w:firstLine="640" w:firstLineChars="200"/>
        <w:rPr>
          <w:color w:val="auto"/>
          <w:sz w:val="32"/>
          <w:szCs w:val="32"/>
        </w:rPr>
      </w:pPr>
      <w:r>
        <w:rPr>
          <w:rFonts w:hint="eastAsia" w:ascii="楷体" w:hAnsi="楷体" w:eastAsia="楷体" w:cs="楷体"/>
          <w:color w:val="auto"/>
          <w:sz w:val="32"/>
          <w:szCs w:val="32"/>
          <w:shd w:val="clear" w:color="auto" w:fill="FFFFFF"/>
        </w:rPr>
        <w:t>六是本行政机关认为需要报告的其他事项</w:t>
      </w:r>
      <w:r>
        <w:rPr>
          <w:rFonts w:hint="eastAsia" w:ascii="仿宋_GB2312" w:eastAsia="仿宋_GB2312" w:cs="仿宋_GB2312"/>
          <w:color w:val="auto"/>
          <w:sz w:val="32"/>
          <w:szCs w:val="32"/>
          <w:shd w:val="clear" w:color="auto" w:fill="FFFFFF"/>
        </w:rPr>
        <w:t>：无。</w:t>
      </w:r>
    </w:p>
    <w:p w14:paraId="1E00E69A">
      <w:pPr>
        <w:pStyle w:val="2"/>
        <w:widowControl/>
        <w:spacing w:beforeAutospacing="0" w:afterAutospacing="0" w:line="560" w:lineRule="exact"/>
        <w:ind w:firstLine="640" w:firstLineChars="200"/>
        <w:rPr>
          <w:color w:val="auto"/>
          <w:sz w:val="32"/>
          <w:szCs w:val="32"/>
        </w:rPr>
      </w:pPr>
      <w:r>
        <w:rPr>
          <w:rFonts w:hint="eastAsia" w:ascii="楷体" w:hAnsi="楷体" w:eastAsia="楷体" w:cs="楷体"/>
          <w:color w:val="auto"/>
          <w:sz w:val="32"/>
          <w:szCs w:val="32"/>
          <w:shd w:val="clear" w:color="auto" w:fill="FFFFFF"/>
        </w:rPr>
        <w:t>七是其他有关文件专门要求通过政府信息公开工作年度报告予以报告的事项</w:t>
      </w:r>
      <w:r>
        <w:rPr>
          <w:rFonts w:hint="eastAsia" w:ascii="仿宋_GB2312" w:eastAsia="仿宋_GB2312" w:cs="仿宋_GB2312"/>
          <w:color w:val="auto"/>
          <w:sz w:val="32"/>
          <w:szCs w:val="32"/>
          <w:shd w:val="clear" w:color="auto" w:fill="FFFFFF"/>
        </w:rPr>
        <w:t>：无。</w:t>
      </w:r>
    </w:p>
    <w:p w14:paraId="3E10E189">
      <w:pPr>
        <w:pStyle w:val="2"/>
        <w:widowControl/>
        <w:spacing w:beforeAutospacing="0" w:afterAutospacing="0" w:line="560" w:lineRule="exact"/>
        <w:ind w:firstLine="640" w:firstLineChars="200"/>
        <w:jc w:val="right"/>
        <w:rPr>
          <w:rFonts w:ascii="仿宋_GB2312" w:eastAsia="仿宋_GB2312" w:cs="仿宋_GB2312"/>
          <w:color w:val="auto"/>
          <w:sz w:val="32"/>
          <w:szCs w:val="32"/>
          <w:shd w:val="clear" w:color="auto" w:fill="FFFFFF"/>
        </w:rPr>
      </w:pPr>
    </w:p>
    <w:p w14:paraId="45251397">
      <w:pPr>
        <w:pStyle w:val="2"/>
        <w:widowControl/>
        <w:spacing w:beforeAutospacing="0" w:afterAutospacing="0" w:line="560" w:lineRule="exact"/>
        <w:ind w:firstLine="640" w:firstLineChars="200"/>
        <w:jc w:val="right"/>
        <w:rPr>
          <w:color w:val="auto"/>
          <w:sz w:val="32"/>
          <w:szCs w:val="32"/>
        </w:rPr>
      </w:pPr>
      <w:r>
        <w:rPr>
          <w:rFonts w:hint="eastAsia" w:ascii="仿宋_GB2312" w:eastAsia="仿宋_GB2312" w:cs="仿宋_GB2312"/>
          <w:color w:val="auto"/>
          <w:sz w:val="32"/>
          <w:szCs w:val="32"/>
          <w:shd w:val="clear" w:color="auto" w:fill="FFFFFF"/>
        </w:rPr>
        <w:t>台儿庄区交通运输局</w:t>
      </w:r>
    </w:p>
    <w:p w14:paraId="3FB15AA5">
      <w:pPr>
        <w:pStyle w:val="2"/>
        <w:widowControl/>
        <w:spacing w:beforeAutospacing="0" w:afterAutospacing="0" w:line="560" w:lineRule="exact"/>
        <w:ind w:firstLine="640" w:firstLineChars="200"/>
        <w:jc w:val="right"/>
        <w:rPr>
          <w:color w:val="auto"/>
        </w:rPr>
      </w:pPr>
      <w:r>
        <w:rPr>
          <w:rFonts w:hint="eastAsia" w:ascii="仿宋_GB2312" w:eastAsia="仿宋_GB2312" w:cs="仿宋_GB2312"/>
          <w:color w:val="auto"/>
          <w:sz w:val="32"/>
          <w:szCs w:val="32"/>
          <w:shd w:val="clear" w:color="auto" w:fill="FFFFFF"/>
        </w:rPr>
        <w:t>202</w:t>
      </w:r>
      <w:r>
        <w:rPr>
          <w:rFonts w:hint="eastAsia" w:ascii="仿宋_GB2312" w:eastAsia="仿宋_GB2312" w:cs="仿宋_GB2312"/>
          <w:color w:val="auto"/>
          <w:sz w:val="32"/>
          <w:szCs w:val="32"/>
          <w:shd w:val="clear" w:color="auto" w:fill="FFFFFF"/>
          <w:lang w:val="en-US" w:eastAsia="zh-CN"/>
        </w:rPr>
        <w:t>6</w:t>
      </w:r>
      <w:r>
        <w:rPr>
          <w:rFonts w:hint="eastAsia" w:ascii="仿宋_GB2312" w:eastAsia="仿宋_GB2312" w:cs="仿宋_GB2312"/>
          <w:color w:val="auto"/>
          <w:sz w:val="32"/>
          <w:szCs w:val="32"/>
          <w:shd w:val="clear" w:color="auto" w:fill="FFFFFF"/>
        </w:rPr>
        <w:t>年1月</w:t>
      </w:r>
      <w:r>
        <w:rPr>
          <w:rFonts w:hint="eastAsia" w:ascii="仿宋_GB2312" w:eastAsia="仿宋_GB2312" w:cs="仿宋_GB2312"/>
          <w:color w:val="auto"/>
          <w:sz w:val="32"/>
          <w:szCs w:val="32"/>
          <w:shd w:val="clear" w:color="auto" w:fill="FFFFFF"/>
          <w:lang w:val="en-US" w:eastAsia="zh-CN"/>
        </w:rPr>
        <w:t>16</w:t>
      </w:r>
      <w:r>
        <w:rPr>
          <w:rFonts w:hint="eastAsia" w:ascii="仿宋_GB2312" w:eastAsia="仿宋_GB2312" w:cs="仿宋_GB2312"/>
          <w:color w:val="auto"/>
          <w:sz w:val="32"/>
          <w:szCs w:val="32"/>
          <w:shd w:val="clear" w:color="auto" w:fill="FFFFFF"/>
        </w:rPr>
        <w:t>日</w:t>
      </w:r>
    </w:p>
    <w:p w14:paraId="7EB1812F">
      <w:pPr>
        <w:pStyle w:val="2"/>
        <w:widowControl/>
        <w:spacing w:line="315" w:lineRule="atLeast"/>
        <w:rPr>
          <w:color w:val="auto"/>
        </w:rPr>
      </w:pPr>
    </w:p>
    <w:p w14:paraId="798D058E">
      <w:pPr>
        <w:rPr>
          <w:color w:val="auto"/>
        </w:rPr>
      </w:pPr>
    </w:p>
    <w:sectPr>
      <w:pgSz w:w="11906" w:h="16838"/>
      <w:pgMar w:top="1985" w:right="1588" w:bottom="1701"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66C805-FAC9-4C7B-8958-21E0DF18E4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0CAA4E5-25EF-4D43-890C-9FC7F4224310}"/>
  </w:font>
  <w:font w:name="方正小标宋简体">
    <w:panose1 w:val="03000509000000000000"/>
    <w:charset w:val="86"/>
    <w:family w:val="script"/>
    <w:pitch w:val="default"/>
    <w:sig w:usb0="00000001" w:usb1="080E0000" w:usb2="00000000" w:usb3="00000000" w:csb0="00040000" w:csb1="00000000"/>
    <w:embedRegular r:id="rId3" w:fontKey="{DFB81E6A-AA44-47DF-AB25-BA2A701A9C4A}"/>
  </w:font>
  <w:font w:name="仿宋_GB2312">
    <w:panose1 w:val="02010609030101010101"/>
    <w:charset w:val="86"/>
    <w:family w:val="modern"/>
    <w:pitch w:val="default"/>
    <w:sig w:usb0="00000001" w:usb1="080E0000" w:usb2="00000000" w:usb3="00000000" w:csb0="00040000" w:csb1="00000000"/>
    <w:embedRegular r:id="rId4" w:fontKey="{8C13B144-57C7-409A-8111-4C53DDD6999C}"/>
  </w:font>
  <w:font w:name="楷体_GB2312">
    <w:panose1 w:val="02010609030101010101"/>
    <w:charset w:val="86"/>
    <w:family w:val="modern"/>
    <w:pitch w:val="default"/>
    <w:sig w:usb0="00000001" w:usb1="080E0000" w:usb2="00000000" w:usb3="00000000" w:csb0="00040000" w:csb1="00000000"/>
    <w:embedRegular r:id="rId5" w:fontKey="{46C9F3A2-C67C-4663-ADF7-8A922AF84E3F}"/>
  </w:font>
  <w:font w:name="楷体">
    <w:panose1 w:val="02010609060101010101"/>
    <w:charset w:val="86"/>
    <w:family w:val="modern"/>
    <w:pitch w:val="default"/>
    <w:sig w:usb0="800002BF" w:usb1="38CF7CFA" w:usb2="00000016" w:usb3="00000000" w:csb0="00040001" w:csb1="00000000"/>
    <w:embedRegular r:id="rId6" w:fontKey="{2E6F49D7-78DD-4243-A9EB-CE11068E35F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B2B"/>
    <w:rsid w:val="00244B30"/>
    <w:rsid w:val="00471F46"/>
    <w:rsid w:val="00501201"/>
    <w:rsid w:val="00726300"/>
    <w:rsid w:val="00D95B2B"/>
    <w:rsid w:val="02F8266E"/>
    <w:rsid w:val="0E057FED"/>
    <w:rsid w:val="1032017D"/>
    <w:rsid w:val="11367711"/>
    <w:rsid w:val="198A5A5C"/>
    <w:rsid w:val="1A9A3007"/>
    <w:rsid w:val="1FEA5EAF"/>
    <w:rsid w:val="23B93BF6"/>
    <w:rsid w:val="23E40A13"/>
    <w:rsid w:val="25A64B90"/>
    <w:rsid w:val="28F7468A"/>
    <w:rsid w:val="2E164CF6"/>
    <w:rsid w:val="2E6575A1"/>
    <w:rsid w:val="432C55E6"/>
    <w:rsid w:val="49E10B5A"/>
    <w:rsid w:val="4BEC3221"/>
    <w:rsid w:val="50356B02"/>
    <w:rsid w:val="79747B26"/>
    <w:rsid w:val="7EC94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3022</Words>
  <Characters>3153</Characters>
  <Lines>26</Lines>
  <Paragraphs>7</Paragraphs>
  <TotalTime>2</TotalTime>
  <ScaleCrop>false</ScaleCrop>
  <LinksUpToDate>false</LinksUpToDate>
  <CharactersWithSpaces>3153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2025-01-24T14:18:00Z</dcterms:created>
  <dc:creator>HR</dc:creator>
  <cp:lastModifiedBy>WPS_1730807293</cp:lastModifiedBy>
  <dcterms:modified xsi:type="dcterms:W3CDTF">2026-01-16T07:08:11Z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eyJoZGlkIjoiN2FjMjliYzQwNjFjODU4YWUyNzFiNzU1OGE5YTk2M2YiLCJ1c2VySWQiOiIxNjUyMzY0NDgwIn0=</vt:lpwstr>
  </property>
  <property fmtid="{D5CDD505-2E9C-101B-9397-08002B2CF9AE}" pid="4" name="ICV">
    <vt:lpwstr>ABF7BCA598A04BBD9EB5B538935D02C4_13</vt:lpwstr>
  </property>
</Properties>
</file>