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9210A">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17"/>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枣庄市台儿庄区人力资源和社会保障</w:t>
      </w:r>
      <w:r>
        <w:rPr>
          <w:rFonts w:hint="eastAsia" w:ascii="方正小标宋简体" w:hAnsi="方正小标宋简体" w:eastAsia="方正小标宋简体" w:cs="方正小标宋简体"/>
          <w:bCs/>
          <w:color w:val="333333"/>
          <w:spacing w:val="-17"/>
          <w:sz w:val="44"/>
          <w:szCs w:val="44"/>
          <w:shd w:val="clear" w:color="auto" w:fill="FFFFFF"/>
        </w:rPr>
        <w:t>局</w:t>
      </w:r>
    </w:p>
    <w:p w14:paraId="1E5B9047">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2025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r>
        <w:rPr>
          <w:rFonts w:hint="eastAsia" w:ascii="方正小标宋简体" w:hAnsi="方正小标宋简体" w:eastAsia="方正小标宋简体" w:cs="方正小标宋简体"/>
          <w:bCs/>
          <w:color w:val="333333"/>
          <w:sz w:val="44"/>
          <w:szCs w:val="44"/>
          <w:shd w:val="clear" w:color="auto" w:fill="FFFFFF"/>
        </w:rPr>
        <w:t>年度报告</w:t>
      </w:r>
    </w:p>
    <w:p w14:paraId="1220557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bCs/>
          <w:color w:val="FF0000"/>
          <w:kern w:val="2"/>
          <w:sz w:val="32"/>
          <w:szCs w:val="32"/>
        </w:rPr>
      </w:pPr>
    </w:p>
    <w:p w14:paraId="5F25A15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仿宋_GB2312" w:cs="黑体"/>
          <w:b/>
          <w:bCs/>
          <w:color w:val="000000" w:themeColor="text1"/>
          <w:kern w:val="2"/>
          <w:sz w:val="32"/>
          <w:szCs w:val="32"/>
          <w:lang w:eastAsia="zh-CN"/>
          <w14:textFill>
            <w14:solidFill>
              <w14:schemeClr w14:val="tx1"/>
            </w14:solidFill>
          </w14:textFill>
        </w:rPr>
      </w:pPr>
      <w:r>
        <w:rPr>
          <w:rFonts w:ascii="仿宋_GB2312" w:eastAsia="仿宋_GB2312" w:cs="仿宋_GB2312"/>
          <w:color w:val="000000" w:themeColor="text1"/>
          <w:sz w:val="32"/>
          <w:szCs w:val="32"/>
          <w:shd w:val="clear" w:color="auto" w:fill="FFFFFF"/>
          <w14:textFill>
            <w14:solidFill>
              <w14:schemeClr w14:val="tx1"/>
            </w14:solidFill>
          </w14:textFill>
        </w:rPr>
        <w:t>根据《中华人民共和国政府信息公开条例》（国务院令第</w:t>
      </w:r>
      <w:r>
        <w:rPr>
          <w:rFonts w:hint="eastAsia" w:ascii="仿宋_GB2312" w:eastAsia="仿宋_GB2312" w:cs="仿宋_GB2312"/>
          <w:color w:val="000000" w:themeColor="text1"/>
          <w:sz w:val="32"/>
          <w:szCs w:val="32"/>
          <w:shd w:val="clear" w:color="auto" w:fill="FFFFFF"/>
          <w14:textFill>
            <w14:solidFill>
              <w14:schemeClr w14:val="tx1"/>
            </w14:solidFill>
          </w14:textFill>
        </w:rPr>
        <w:t>711号，以下简称《条例》）《国务院办公厅政府信息与政务公开办公室关于印发＜中华人民共和国政府信息公开工作年度报告格式＞的通知》（国办公开办函〔2021〕30号）要求，编制本报告。本报告包括：总体情况；主动公开政府信息情况；收到和处理政府信息公开申请情况；政府信息公开行政复议、行政诉讼情况；存在的主要问题及改进情况；其他需要报告的事项等六个部分。报告中所列数据的统计期限自202</w:t>
      </w: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5</w:t>
      </w:r>
      <w:r>
        <w:rPr>
          <w:rFonts w:hint="eastAsia" w:ascii="仿宋_GB2312" w:eastAsia="仿宋_GB2312" w:cs="仿宋_GB2312"/>
          <w:color w:val="000000" w:themeColor="text1"/>
          <w:sz w:val="32"/>
          <w:szCs w:val="32"/>
          <w:shd w:val="clear" w:color="auto" w:fill="FFFFFF"/>
          <w14:textFill>
            <w14:solidFill>
              <w14:schemeClr w14:val="tx1"/>
            </w14:solidFill>
          </w14:textFill>
        </w:rPr>
        <w:t>年1月1日起至202</w:t>
      </w:r>
      <w:r>
        <w:rPr>
          <w:rFonts w:hint="eastAsia" w:ascii="仿宋_GB2312" w:eastAsia="仿宋_GB2312" w:cs="仿宋_GB2312"/>
          <w:color w:val="000000" w:themeColor="text1"/>
          <w:sz w:val="32"/>
          <w:szCs w:val="32"/>
          <w:shd w:val="clear" w:color="auto" w:fill="FFFFFF"/>
          <w:lang w:val="en-US" w:eastAsia="zh-CN"/>
          <w14:textFill>
            <w14:solidFill>
              <w14:schemeClr w14:val="tx1"/>
            </w14:solidFill>
          </w14:textFill>
        </w:rPr>
        <w:t>5</w:t>
      </w:r>
      <w:r>
        <w:rPr>
          <w:rFonts w:hint="eastAsia" w:ascii="仿宋_GB2312" w:eastAsia="仿宋_GB2312" w:cs="仿宋_GB2312"/>
          <w:color w:val="000000" w:themeColor="text1"/>
          <w:sz w:val="32"/>
          <w:szCs w:val="32"/>
          <w:shd w:val="clear" w:color="auto" w:fill="FFFFFF"/>
          <w14:textFill>
            <w14:solidFill>
              <w14:schemeClr w14:val="tx1"/>
            </w14:solidFill>
          </w14:textFill>
        </w:rPr>
        <w:t>年12月31日止。报告的电子版可在“台儿庄区政府门户网站”下载。如对本报告有疑问，请与台儿庄区人力资源和社会保障局办公室联系(地址:枣庄市台儿庄区台中路1506号；电话：0632—6611732；邮箱：tezrsj@zz.shandong.cn )</w:t>
      </w:r>
      <w:r>
        <w:rPr>
          <w:rFonts w:hint="eastAsia" w:ascii="仿宋_GB2312" w:eastAsia="仿宋_GB2312" w:cs="仿宋_GB2312"/>
          <w:color w:val="000000" w:themeColor="text1"/>
          <w:sz w:val="32"/>
          <w:szCs w:val="32"/>
          <w:shd w:val="clear" w:color="auto" w:fill="FFFFFF"/>
          <w:lang w:eastAsia="zh-CN"/>
          <w14:textFill>
            <w14:solidFill>
              <w14:schemeClr w14:val="tx1"/>
            </w14:solidFill>
          </w14:textFill>
        </w:rPr>
        <w:t>。</w:t>
      </w:r>
    </w:p>
    <w:p w14:paraId="55C36F9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shd w:val="clear" w:color="auto" w:fill="FFFFFF"/>
          <w14:textFill>
            <w14:solidFill>
              <w14:schemeClr w14:val="tx1"/>
            </w14:solidFill>
          </w14:textFill>
        </w:rPr>
        <w:t>一、总体情况</w:t>
      </w:r>
    </w:p>
    <w:p w14:paraId="4DAD5834">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ascii="仿宋_GB2312" w:eastAsia="仿宋_GB2312"/>
          <w:color w:val="000000" w:themeColor="text1"/>
          <w:sz w:val="32"/>
          <w:szCs w:val="32"/>
          <w14:textFill>
            <w14:solidFill>
              <w14:schemeClr w14:val="tx1"/>
            </w14:solidFill>
          </w14:textFill>
        </w:rPr>
        <w:t>年，</w:t>
      </w:r>
      <w:r>
        <w:rPr>
          <w:rFonts w:hint="eastAsia" w:ascii="仿宋_GB2312" w:hAnsi="宋体" w:eastAsia="仿宋_GB2312" w:cs="仿宋_GB2312"/>
          <w:color w:val="000000" w:themeColor="text1"/>
          <w:kern w:val="0"/>
          <w:sz w:val="32"/>
          <w:szCs w:val="32"/>
          <w:shd w:val="clear" w:color="auto" w:fill="FFFFFF"/>
          <w:lang w:val="en-US" w:eastAsia="zh-CN" w:bidi="ar-SA"/>
          <w14:textFill>
            <w14:solidFill>
              <w14:schemeClr w14:val="tx1"/>
            </w14:solidFill>
          </w14:textFill>
        </w:rPr>
        <w:t>台儿庄区人力资源和社会保障局坚持以习近平新时代中国特色社会主义思想为指导，</w:t>
      </w:r>
      <w:r>
        <w:rPr>
          <w:rFonts w:hint="eastAsia" w:ascii="仿宋_GB2312" w:eastAsia="仿宋_GB2312"/>
          <w:color w:val="000000" w:themeColor="text1"/>
          <w:sz w:val="32"/>
          <w:szCs w:val="32"/>
          <w:lang w:eastAsia="zh-CN"/>
          <w14:textFill>
            <w14:solidFill>
              <w14:schemeClr w14:val="tx1"/>
            </w14:solidFill>
          </w14:textFill>
        </w:rPr>
        <w:t>坚定不移贯彻落实区委、区政府决策部署，围绕人社重点工作任务，着力做好为民服务实效，将信息公开作为提升政务服务水平、保障公众知情权的关键举措，不断提升群众获得感和满意度。</w:t>
      </w:r>
    </w:p>
    <w:p w14:paraId="68847030">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1.主动公开方面。</w:t>
      </w:r>
      <w:r>
        <w:rPr>
          <w:rFonts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按照区政府部门信息公开目录，</w:t>
      </w:r>
      <w:r>
        <w:rPr>
          <w:rFonts w:hint="eastAsia" w:ascii="仿宋_GB2312" w:hAnsi="微软雅黑" w:eastAsia="仿宋_GB2312" w:cs="仿宋_GB2312"/>
          <w:i w:val="0"/>
          <w:iCs w:val="0"/>
          <w:caps w:val="0"/>
          <w:color w:val="000000" w:themeColor="text1"/>
          <w:spacing w:val="0"/>
          <w:sz w:val="31"/>
          <w:szCs w:val="31"/>
          <w:u w:val="none"/>
          <w:shd w:val="clear" w:fill="FFFFFF"/>
          <w:lang w:eastAsia="zh-CN"/>
          <w14:textFill>
            <w14:solidFill>
              <w14:schemeClr w14:val="tx1"/>
            </w14:solidFill>
          </w14:textFill>
        </w:rPr>
        <w:t>全面</w:t>
      </w:r>
      <w:r>
        <w:rPr>
          <w:rFonts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主动公</w:t>
      </w:r>
      <w:r>
        <w:rPr>
          <w:rFonts w:hint="default" w:ascii="仿宋_GB2312" w:hAnsi="仿宋_GB2312" w:eastAsia="仿宋_GB2312" w:cs="仿宋_GB2312"/>
          <w:color w:val="000000" w:themeColor="text1"/>
          <w:sz w:val="32"/>
          <w:szCs w:val="32"/>
          <w14:textFill>
            <w14:solidFill>
              <w14:schemeClr w14:val="tx1"/>
            </w14:solidFill>
          </w14:textFill>
        </w:rPr>
        <w:t>开本机关机构信息、</w:t>
      </w:r>
      <w:r>
        <w:rPr>
          <w:rFonts w:hint="eastAsia" w:ascii="仿宋_GB2312" w:hAnsi="仿宋_GB2312" w:eastAsia="仿宋_GB2312" w:cs="仿宋_GB2312"/>
          <w:color w:val="000000" w:themeColor="text1"/>
          <w:sz w:val="32"/>
          <w:szCs w:val="32"/>
          <w14:textFill>
            <w14:solidFill>
              <w14:schemeClr w14:val="tx1"/>
            </w14:solidFill>
          </w14:textFill>
        </w:rPr>
        <w:t>业务动态等信息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，围绕就业创业、社会保险等重点</w:t>
      </w:r>
      <w:r>
        <w:rPr>
          <w:rFonts w:hint="default" w:ascii="仿宋_GB2312" w:hAnsi="仿宋_GB2312" w:eastAsia="仿宋_GB2312" w:cs="仿宋_GB2312"/>
          <w:color w:val="000000" w:themeColor="text1"/>
          <w:sz w:val="32"/>
          <w:szCs w:val="32"/>
          <w14:textFill>
            <w14:solidFill>
              <w14:schemeClr w14:val="tx1"/>
            </w14:solidFill>
          </w14:textFill>
        </w:rPr>
        <w:t>领域，</w:t>
      </w:r>
      <w:r>
        <w:rPr>
          <w:rFonts w:hint="eastAsia" w:ascii="仿宋_GB2312" w:hAnsi="仿宋_GB2312" w:eastAsia="仿宋_GB2312" w:cs="仿宋_GB2312"/>
          <w:color w:val="000000" w:themeColor="text1"/>
          <w:sz w:val="32"/>
          <w:szCs w:val="32"/>
          <w14:textFill>
            <w14:solidFill>
              <w14:schemeClr w14:val="tx1"/>
            </w14:solidFill>
          </w14:textFill>
        </w:rPr>
        <w:t>及时公开相关政策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法规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业务</w:t>
      </w:r>
      <w:r>
        <w:rPr>
          <w:rFonts w:hint="eastAsia" w:ascii="仿宋_GB2312" w:hAnsi="仿宋_GB2312" w:eastAsia="仿宋_GB2312" w:cs="仿宋_GB2312"/>
          <w:color w:val="000000" w:themeColor="text1"/>
          <w:sz w:val="32"/>
          <w:szCs w:val="32"/>
          <w14:textFill>
            <w14:solidFill>
              <w14:schemeClr w14:val="tx1"/>
            </w14:solidFill>
          </w14:textFill>
        </w:rPr>
        <w:t>办理流程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企事业单位招录信息，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全年</w:t>
      </w:r>
      <w:r>
        <w:rPr>
          <w:rFonts w:hint="default" w:ascii="仿宋_GB2312" w:hAnsi="仿宋_GB2312" w:eastAsia="仿宋_GB2312" w:cs="仿宋_GB2312"/>
          <w:color w:val="000000" w:themeColor="text1"/>
          <w:sz w:val="32"/>
          <w:szCs w:val="32"/>
          <w14:textFill>
            <w14:solidFill>
              <w14:schemeClr w14:val="tx1"/>
            </w14:solidFill>
          </w14:textFill>
        </w:rPr>
        <w:t>通过</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w:t>
      </w:r>
      <w:r>
        <w:rPr>
          <w:rFonts w:hint="default" w:ascii="仿宋_GB2312" w:hAnsi="仿宋_GB2312" w:eastAsia="仿宋_GB2312" w:cs="仿宋_GB2312"/>
          <w:color w:val="000000" w:themeColor="text1"/>
          <w:sz w:val="32"/>
          <w:szCs w:val="32"/>
          <w14:textFill>
            <w14:solidFill>
              <w14:schemeClr w14:val="tx1"/>
            </w14:solidFill>
          </w14:textFill>
        </w:rPr>
        <w:t>网站</w:t>
      </w:r>
      <w:r>
        <w:rPr>
          <w:rFonts w:hint="eastAsia" w:ascii="仿宋_GB2312" w:hAnsi="仿宋_GB2312" w:eastAsia="仿宋_GB2312" w:cs="仿宋_GB2312"/>
          <w:color w:val="000000" w:themeColor="text1"/>
          <w:sz w:val="32"/>
          <w:szCs w:val="32"/>
          <w:lang w:eastAsia="zh-CN"/>
          <w14:textFill>
            <w14:solidFill>
              <w14:schemeClr w14:val="tx1"/>
            </w14:solidFill>
          </w14:textFill>
        </w:rPr>
        <w:t>主动公开信息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142条，“台儿庄人社局”</w:t>
      </w:r>
      <w:r>
        <w:rPr>
          <w:rFonts w:hint="eastAsia" w:ascii="仿宋_GB2312" w:hAnsi="仿宋_GB2312" w:eastAsia="仿宋_GB2312" w:cs="仿宋_GB2312"/>
          <w:color w:val="000000" w:themeColor="text1"/>
          <w:sz w:val="32"/>
          <w:szCs w:val="32"/>
          <w14:textFill>
            <w14:solidFill>
              <w14:schemeClr w14:val="tx1"/>
            </w14:solidFill>
          </w14:textFill>
        </w:rPr>
        <w:t>微信公众号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编发信息228条，</w:t>
      </w:r>
      <w:r>
        <w:rPr>
          <w:rFonts w:hint="default" w:ascii="仿宋_GB2312" w:hAnsi="仿宋_GB2312" w:eastAsia="仿宋_GB2312" w:cs="仿宋_GB2312"/>
          <w:color w:val="000000" w:themeColor="text1"/>
          <w:sz w:val="32"/>
          <w:szCs w:val="32"/>
          <w14:textFill>
            <w14:solidFill>
              <w14:schemeClr w14:val="tx1"/>
            </w14:solidFill>
          </w14:textFill>
        </w:rPr>
        <w:t>通过报刊、网络等</w:t>
      </w:r>
      <w:r>
        <w:rPr>
          <w:rFonts w:hint="eastAsia" w:ascii="仿宋_GB2312" w:hAnsi="仿宋_GB2312" w:eastAsia="仿宋_GB2312" w:cs="仿宋_GB2312"/>
          <w:color w:val="000000" w:themeColor="text1"/>
          <w:sz w:val="32"/>
          <w:szCs w:val="32"/>
          <w:lang w:eastAsia="zh-CN"/>
          <w14:textFill>
            <w14:solidFill>
              <w14:schemeClr w14:val="tx1"/>
            </w14:solidFill>
          </w14:textFill>
        </w:rPr>
        <w:t>途径</w:t>
      </w:r>
      <w:r>
        <w:rPr>
          <w:rFonts w:hint="default" w:ascii="仿宋_GB2312" w:hAnsi="仿宋_GB2312" w:eastAsia="仿宋_GB2312" w:cs="仿宋_GB2312"/>
          <w:color w:val="000000" w:themeColor="text1"/>
          <w:sz w:val="32"/>
          <w:szCs w:val="32"/>
          <w14:textFill>
            <w14:solidFill>
              <w14:schemeClr w14:val="tx1"/>
            </w14:solidFill>
          </w14:textFill>
        </w:rPr>
        <w:t>发布</w:t>
      </w:r>
      <w:r>
        <w:rPr>
          <w:rFonts w:hint="eastAsia" w:ascii="仿宋_GB2312" w:hAnsi="仿宋_GB2312" w:eastAsia="仿宋_GB2312" w:cs="仿宋_GB2312"/>
          <w:color w:val="000000" w:themeColor="text1"/>
          <w:sz w:val="32"/>
          <w:szCs w:val="32"/>
          <w:lang w:eastAsia="zh-CN"/>
          <w14:textFill>
            <w14:solidFill>
              <w14:schemeClr w14:val="tx1"/>
            </w14:solidFill>
          </w14:textFill>
        </w:rPr>
        <w:t>省级及以上宣传</w:t>
      </w:r>
      <w:r>
        <w:rPr>
          <w:rFonts w:hint="default" w:ascii="仿宋_GB2312" w:hAnsi="仿宋_GB2312" w:eastAsia="仿宋_GB2312" w:cs="仿宋_GB2312"/>
          <w:color w:val="000000" w:themeColor="text1"/>
          <w:sz w:val="32"/>
          <w:szCs w:val="32"/>
          <w14:textFill>
            <w14:solidFill>
              <w14:schemeClr w14:val="tx1"/>
            </w14:solidFill>
          </w14:textFill>
        </w:rPr>
        <w:t>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30余</w:t>
      </w:r>
      <w:r>
        <w:rPr>
          <w:rFonts w:hint="default" w:ascii="仿宋_GB2312" w:hAnsi="仿宋_GB2312" w:eastAsia="仿宋_GB2312" w:cs="仿宋_GB2312"/>
          <w:color w:val="000000" w:themeColor="text1"/>
          <w:sz w:val="32"/>
          <w:szCs w:val="32"/>
          <w14:textFill>
            <w14:solidFill>
              <w14:schemeClr w14:val="tx1"/>
            </w14:solidFill>
          </w14:textFill>
        </w:rPr>
        <w:t>篇，确保</w:t>
      </w:r>
      <w:r>
        <w:rPr>
          <w:rFonts w:hint="eastAsia" w:ascii="仿宋_GB2312" w:hAnsi="仿宋_GB2312" w:eastAsia="仿宋_GB2312" w:cs="仿宋_GB2312"/>
          <w:color w:val="000000" w:themeColor="text1"/>
          <w:sz w:val="32"/>
          <w:szCs w:val="32"/>
          <w:lang w:eastAsia="zh-CN"/>
          <w14:textFill>
            <w14:solidFill>
              <w14:schemeClr w14:val="tx1"/>
            </w14:solidFill>
          </w14:textFill>
        </w:rPr>
        <w:t>群</w:t>
      </w:r>
      <w:r>
        <w:rPr>
          <w:rFonts w:hint="default" w:ascii="仿宋_GB2312" w:hAnsi="仿宋_GB2312" w:eastAsia="仿宋_GB2312" w:cs="仿宋_GB2312"/>
          <w:color w:val="000000" w:themeColor="text1"/>
          <w:sz w:val="32"/>
          <w:szCs w:val="32"/>
          <w14:textFill>
            <w14:solidFill>
              <w14:schemeClr w14:val="tx1"/>
            </w14:solidFill>
          </w14:textFill>
        </w:rPr>
        <w:t>众能够及时获取最新的人社政策和服务动态。</w:t>
      </w:r>
    </w:p>
    <w:p w14:paraId="3A4E84B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2.依申请公开工作方面。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严格依法依规办理依申请公开事项，对通过网络、信件等渠道收到的申请，均在规定时间内规范答复。今年共收到信息公开申请0件。</w:t>
      </w:r>
    </w:p>
    <w:p w14:paraId="335A4F0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3.政府信息管理方面。</w:t>
      </w:r>
      <w:r>
        <w:rPr>
          <w:rFonts w:hint="eastAsia" w:ascii="仿宋_GB2312" w:hAnsi="仿宋_GB2312" w:eastAsia="仿宋_GB2312" w:cs="仿宋_GB2312"/>
          <w:color w:val="000000" w:themeColor="text1"/>
          <w:sz w:val="32"/>
          <w:szCs w:val="32"/>
          <w14:textFill>
            <w14:solidFill>
              <w14:schemeClr w14:val="tx1"/>
            </w14:solidFill>
          </w14:textFill>
        </w:rPr>
        <w:t>强化信息发布管理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严格落实“三审三校”等相关要求，做到该公开的公开到位，该保密的保密到位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规范政府信息产生、发布流程，</w:t>
      </w:r>
      <w:r>
        <w:rPr>
          <w:rFonts w:hint="eastAsia" w:ascii="仿宋_GB2312" w:hAnsi="仿宋_GB2312" w:eastAsia="仿宋_GB2312" w:cs="仿宋_GB2312"/>
          <w:color w:val="000000" w:themeColor="text1"/>
          <w:sz w:val="32"/>
          <w:szCs w:val="32"/>
          <w14:textFill>
            <w14:solidFill>
              <w14:schemeClr w14:val="tx1"/>
            </w14:solidFill>
          </w14:textFill>
        </w:rPr>
        <w:t>常态化开展安全自查，确保信息发布的合法性和安全性。动态更新人社领域政务公开标准目录，定期梳理现行有效的行政规范性文件，完善目录事项内容，提升信息管理的科学性和规范性。</w:t>
      </w:r>
    </w:p>
    <w:p w14:paraId="53D2F2C3">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color w:val="000000" w:themeColor="text1"/>
          <w:sz w:val="32"/>
          <w:szCs w:val="32"/>
          <w14:textFill>
            <w14:solidFill>
              <w14:schemeClr w14:val="tx1"/>
            </w14:solidFill>
          </w14:textFill>
        </w:rPr>
        <w:t>平台建设方面。</w:t>
      </w:r>
      <w:r>
        <w:rPr>
          <w:rFonts w:hint="eastAsia" w:ascii="仿宋_GB2312" w:eastAsia="仿宋_GB2312"/>
          <w:color w:val="000000" w:themeColor="text1"/>
          <w:sz w:val="32"/>
          <w:szCs w:val="32"/>
          <w:lang w:val="en-US" w:eastAsia="zh-CN"/>
          <w14:textFill>
            <w14:solidFill>
              <w14:schemeClr w14:val="tx1"/>
            </w14:solidFill>
          </w14:textFill>
        </w:rPr>
        <w:t>线上，</w:t>
      </w:r>
      <w:r>
        <w:rPr>
          <w:rFonts w:hint="eastAsia" w:ascii="仿宋_GB2312" w:hAnsi="仿宋_GB2312" w:eastAsia="仿宋_GB2312" w:cs="仿宋_GB2312"/>
          <w:color w:val="000000" w:themeColor="text1"/>
          <w:sz w:val="32"/>
          <w:szCs w:val="32"/>
          <w14:textFill>
            <w14:solidFill>
              <w14:schemeClr w14:val="tx1"/>
            </w14:solidFill>
          </w14:textFill>
        </w:rPr>
        <w:t>充分发挥政务网站的主阵地作用，围绕全局重点工作，及时发布各类信息，提升政务服务的覆盖面和影响力</w:t>
      </w:r>
      <w:r>
        <w:rPr>
          <w:rFonts w:hint="eastAsia" w:ascii="仿宋_GB2312" w:hAnsi="仿宋_GB2312" w:eastAsia="仿宋_GB2312" w:cs="仿宋_GB2312"/>
          <w:color w:val="000000" w:themeColor="text1"/>
          <w:sz w:val="32"/>
          <w:szCs w:val="32"/>
          <w:lang w:eastAsia="zh-CN"/>
          <w14:textFill>
            <w14:solidFill>
              <w14:schemeClr w14:val="tx1"/>
            </w14:solidFill>
          </w14:textFill>
        </w:rPr>
        <w:t>；完善</w:t>
      </w:r>
      <w:r>
        <w:rPr>
          <w:rFonts w:hint="eastAsia" w:ascii="仿宋_GB2312" w:hAnsi="仿宋_GB2312" w:eastAsia="仿宋_GB2312" w:cs="仿宋_GB2312"/>
          <w:color w:val="000000" w:themeColor="text1"/>
          <w:sz w:val="32"/>
          <w:szCs w:val="32"/>
          <w14:textFill>
            <w14:solidFill>
              <w14:schemeClr w14:val="tx1"/>
            </w14:solidFill>
          </w14:textFill>
        </w:rPr>
        <w:t>升级微信公众号服务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台儿庄人社局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“台儿庄区公共就业”微信公众号</w:t>
      </w:r>
      <w:r>
        <w:rPr>
          <w:rFonts w:hint="eastAsia" w:ascii="仿宋_GB2312" w:hAnsi="仿宋_GB2312" w:eastAsia="仿宋_GB2312" w:cs="仿宋_GB2312"/>
          <w:color w:val="000000" w:themeColor="text1"/>
          <w:sz w:val="32"/>
          <w:szCs w:val="32"/>
          <w14:textFill>
            <w14:solidFill>
              <w14:schemeClr w14:val="tx1"/>
            </w14:solidFill>
          </w14:textFill>
        </w:rPr>
        <w:t>，通过及时推送劳动法律法规、就业政策、招聘求职信息，确保惠民政策家喻户晓。</w:t>
      </w:r>
      <w:r>
        <w:rPr>
          <w:rFonts w:hint="eastAsia" w:ascii="仿宋_GB2312" w:eastAsia="仿宋_GB2312"/>
          <w:color w:val="000000" w:themeColor="text1"/>
          <w:sz w:val="32"/>
          <w:szCs w:val="32"/>
          <w:lang w:eastAsia="zh-CN"/>
          <w14:textFill>
            <w14:solidFill>
              <w14:schemeClr w14:val="tx1"/>
            </w14:solidFill>
          </w14:textFill>
        </w:rPr>
        <w:t>线下，在政务服务大厅开设信息公开专区，配备专业引导人员，方便群众及时查询了解政策。</w:t>
      </w:r>
    </w:p>
    <w:p w14:paraId="5108062A">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5.监督保障方面。</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对内，成立政务公开工作领导小组，</w:t>
      </w:r>
      <w:r>
        <w:rPr>
          <w:rFonts w:hint="eastAsia" w:ascii="仿宋_GB2312" w:eastAsia="仿宋_GB2312" w:cs="Times New Roman"/>
          <w:color w:val="000000" w:themeColor="text1"/>
          <w:sz w:val="32"/>
          <w:szCs w:val="32"/>
          <w:lang w:eastAsia="zh-CN"/>
          <w14:textFill>
            <w14:solidFill>
              <w14:schemeClr w14:val="tx1"/>
            </w14:solidFill>
          </w14:textFill>
        </w:rPr>
        <w:t>不</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定期对信息公开流程进行审查，增强政务公开的规范性和透明度。对外，在政府网站、公开举报投诉电话，鼓励社会各界监督并及时处理反映的问题，确保政府信息公开的真实性和及时性，提升公开质量。</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组织</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局本级</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政府信息公开工作培训1次，全</w:t>
      </w:r>
      <w:r>
        <w:rPr>
          <w:rFonts w:hint="eastAsia" w:ascii="仿宋_GB2312" w:hAnsi="Times New Roman" w:eastAsia="仿宋_GB2312" w:cs="Times New Roman"/>
          <w:color w:val="000000" w:themeColor="text1"/>
          <w:sz w:val="32"/>
          <w:szCs w:val="32"/>
          <w:lang w:eastAsia="zh-CN"/>
          <w14:textFill>
            <w14:solidFill>
              <w14:schemeClr w14:val="tx1"/>
            </w14:solidFill>
          </w14:textFill>
        </w:rPr>
        <w:t>面提升业务能力。</w:t>
      </w:r>
    </w:p>
    <w:p w14:paraId="73CD11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18"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3</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ascii="仿宋_GB2312" w:hAnsi="Calibri" w:eastAsia="仿宋_GB2312" w:cs="Calibri"/>
                <w:color w:val="000000"/>
                <w:kern w:val="0"/>
                <w:szCs w:val="21"/>
              </w:rPr>
            </w:pPr>
            <w:r>
              <w:rPr>
                <w:rFonts w:hint="default" w:ascii="仿宋_GB2312" w:hAnsi="Calibri" w:eastAsia="仿宋_GB2312" w:cs="Calibri"/>
                <w:color w:val="000000"/>
                <w:kern w:val="0"/>
                <w:szCs w:val="21"/>
                <w:lang w:val="en-US"/>
              </w:rPr>
              <w:t>15.50</w:t>
            </w:r>
          </w:p>
        </w:tc>
      </w:tr>
    </w:tbl>
    <w:p w14:paraId="20FD6CC6">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8273C18">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48"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jc w:val="center"/>
              <w:rPr>
                <w:rFonts w:ascii="仿宋_GB2312" w:eastAsia="仿宋_GB2312"/>
                <w:szCs w:val="21"/>
              </w:rPr>
            </w:pPr>
          </w:p>
        </w:tc>
        <w:tc>
          <w:tcPr>
            <w:tcW w:w="747" w:type="dxa"/>
            <w:vMerge w:val="restart"/>
            <w:shd w:val="clear" w:color="auto" w:fill="auto"/>
            <w:tcMar>
              <w:left w:w="108" w:type="dxa"/>
              <w:right w:w="108" w:type="dxa"/>
            </w:tcMar>
            <w:vAlign w:val="center"/>
          </w:tcPr>
          <w:p w14:paraId="02105B2C">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szCs w:val="21"/>
              </w:rPr>
            </w:pPr>
            <w:r>
              <w:rPr>
                <w:rFonts w:hint="eastAsia" w:ascii="黑体" w:hAnsi="黑体" w:eastAsia="黑体"/>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jc w:val="center"/>
              <w:rPr>
                <w:rFonts w:ascii="仿宋_GB2312" w:eastAsia="仿宋_GB2312"/>
                <w:szCs w:val="21"/>
              </w:rPr>
            </w:pPr>
          </w:p>
        </w:tc>
        <w:tc>
          <w:tcPr>
            <w:tcW w:w="747" w:type="dxa"/>
            <w:vMerge w:val="continue"/>
            <w:shd w:val="clear" w:color="auto" w:fill="auto"/>
            <w:tcMar>
              <w:left w:w="108" w:type="dxa"/>
              <w:right w:w="108" w:type="dxa"/>
            </w:tcMar>
            <w:vAlign w:val="center"/>
          </w:tcPr>
          <w:p w14:paraId="75CA0EA4">
            <w:pPr>
              <w:jc w:val="center"/>
              <w:rPr>
                <w:rFonts w:ascii="黑体" w:hAnsi="黑体" w:eastAsia="黑体"/>
                <w:szCs w:val="21"/>
              </w:rPr>
            </w:pPr>
          </w:p>
        </w:tc>
        <w:tc>
          <w:tcPr>
            <w:tcW w:w="540" w:type="dxa"/>
            <w:shd w:val="clear" w:color="auto" w:fill="auto"/>
            <w:tcMar>
              <w:left w:w="108" w:type="dxa"/>
              <w:right w:w="108" w:type="dxa"/>
            </w:tcMar>
            <w:vAlign w:val="center"/>
          </w:tcPr>
          <w:p w14:paraId="426D161B">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14:paraId="7A3A6752">
            <w:pPr>
              <w:widowControl/>
              <w:spacing w:line="360" w:lineRule="exact"/>
              <w:ind w:left="-59" w:leftChars="-30" w:right="-127"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14:paraId="7E0380D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2FC440C">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EB7936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7175B54E">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637B979B">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25" w:type="dxa"/>
            <w:shd w:val="clear" w:color="auto" w:fill="auto"/>
            <w:tcMar>
              <w:left w:w="108" w:type="dxa"/>
              <w:right w:w="108" w:type="dxa"/>
            </w:tcMar>
            <w:vAlign w:val="center"/>
          </w:tcPr>
          <w:p w14:paraId="633A8B3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060F45D4">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CCDF5A2">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3A724B6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43C30481">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6D6EC306">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25" w:type="dxa"/>
            <w:shd w:val="clear" w:color="auto" w:fill="auto"/>
            <w:tcMar>
              <w:left w:w="108" w:type="dxa"/>
              <w:right w:w="108" w:type="dxa"/>
            </w:tcMar>
            <w:vAlign w:val="center"/>
          </w:tcPr>
          <w:p w14:paraId="32984CF2">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74128EF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0B99A9">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451D8833">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35"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0" w:type="dxa"/>
            <w:shd w:val="clear" w:color="auto" w:fill="auto"/>
            <w:tcMar>
              <w:left w:w="108" w:type="dxa"/>
              <w:right w:w="108" w:type="dxa"/>
            </w:tcMar>
            <w:vAlign w:val="center"/>
          </w:tcPr>
          <w:p w14:paraId="3A066E8C">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rPr>
                <w:rFonts w:ascii="黑体" w:hAnsi="黑体" w:eastAsia="黑体"/>
                <w:szCs w:val="21"/>
              </w:rPr>
            </w:pPr>
          </w:p>
        </w:tc>
        <w:tc>
          <w:tcPr>
            <w:tcW w:w="4677" w:type="dxa"/>
            <w:gridSpan w:val="2"/>
            <w:shd w:val="clear" w:color="auto" w:fill="auto"/>
            <w:tcMar>
              <w:left w:w="108" w:type="dxa"/>
              <w:right w:w="108" w:type="dxa"/>
            </w:tcMar>
            <w:vAlign w:val="center"/>
          </w:tcPr>
          <w:p w14:paraId="0B4B7D1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4293BE0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35"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0" w:type="dxa"/>
            <w:shd w:val="clear" w:color="auto" w:fill="auto"/>
            <w:tcMar>
              <w:left w:w="108" w:type="dxa"/>
              <w:right w:w="108" w:type="dxa"/>
            </w:tcMar>
            <w:vAlign w:val="center"/>
          </w:tcPr>
          <w:p w14:paraId="2CA4B017">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rPr>
                <w:rFonts w:ascii="黑体" w:hAnsi="黑体" w:eastAsia="黑体"/>
                <w:szCs w:val="21"/>
              </w:rPr>
            </w:pPr>
          </w:p>
        </w:tc>
        <w:tc>
          <w:tcPr>
            <w:tcW w:w="1701" w:type="dxa"/>
            <w:vMerge w:val="restart"/>
            <w:shd w:val="clear" w:color="auto" w:fill="auto"/>
            <w:tcMar>
              <w:left w:w="108" w:type="dxa"/>
              <w:right w:w="108" w:type="dxa"/>
            </w:tcMar>
            <w:vAlign w:val="center"/>
          </w:tcPr>
          <w:p w14:paraId="73FB48F8">
            <w:pPr>
              <w:keepNext w:val="0"/>
              <w:keepLines w:val="0"/>
              <w:pageBreakBefore w:val="0"/>
              <w:widowControl/>
              <w:kinsoku/>
              <w:wordWrap/>
              <w:overflowPunct/>
              <w:topLinePunct w:val="0"/>
              <w:autoSpaceDE/>
              <w:autoSpaceDN/>
              <w:bidi w:val="0"/>
              <w:adjustRightInd/>
              <w:snapToGrid/>
              <w:spacing w:line="300" w:lineRule="exact"/>
              <w:ind w:left="0" w:leftChars="0"/>
              <w:textAlignment w:val="auto"/>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6663FA0">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14:paraId="4B16FD1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01A3CA2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rPr>
                <w:rFonts w:ascii="黑体" w:hAnsi="黑体" w:eastAsia="黑体"/>
                <w:szCs w:val="21"/>
              </w:rPr>
            </w:pPr>
          </w:p>
        </w:tc>
        <w:tc>
          <w:tcPr>
            <w:tcW w:w="1701" w:type="dxa"/>
            <w:vMerge w:val="continue"/>
            <w:shd w:val="clear" w:color="auto" w:fill="auto"/>
            <w:tcMar>
              <w:left w:w="108" w:type="dxa"/>
              <w:right w:w="108" w:type="dxa"/>
            </w:tcMar>
            <w:vAlign w:val="center"/>
          </w:tcPr>
          <w:p w14:paraId="4CFC694B">
            <w:pPr>
              <w:keepNext w:val="0"/>
              <w:keepLines w:val="0"/>
              <w:pageBreakBefore w:val="0"/>
              <w:kinsoku/>
              <w:wordWrap/>
              <w:overflowPunct/>
              <w:topLinePunct w:val="0"/>
              <w:autoSpaceDE/>
              <w:autoSpaceDN/>
              <w:bidi w:val="0"/>
              <w:adjustRightInd/>
              <w:snapToGrid/>
              <w:spacing w:line="300" w:lineRule="exact"/>
              <w:ind w:left="0" w:leftChars="0"/>
              <w:textAlignment w:val="auto"/>
              <w:rPr>
                <w:rFonts w:ascii="黑体" w:hAnsi="黑体" w:eastAsia="黑体"/>
                <w:szCs w:val="21"/>
              </w:rPr>
            </w:pPr>
          </w:p>
        </w:tc>
        <w:tc>
          <w:tcPr>
            <w:tcW w:w="2976" w:type="dxa"/>
            <w:shd w:val="clear" w:color="auto" w:fill="auto"/>
            <w:tcMar>
              <w:left w:w="108" w:type="dxa"/>
              <w:right w:w="108" w:type="dxa"/>
            </w:tcMar>
            <w:vAlign w:val="center"/>
          </w:tcPr>
          <w:p w14:paraId="4AB60801">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14:paraId="515EDC5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1141607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rPr>
                <w:rFonts w:ascii="黑体" w:hAnsi="黑体" w:eastAsia="黑体"/>
                <w:szCs w:val="21"/>
              </w:rPr>
            </w:pPr>
          </w:p>
        </w:tc>
        <w:tc>
          <w:tcPr>
            <w:tcW w:w="1701" w:type="dxa"/>
            <w:vMerge w:val="continue"/>
            <w:shd w:val="clear" w:color="auto" w:fill="auto"/>
            <w:tcMar>
              <w:left w:w="108" w:type="dxa"/>
              <w:right w:w="108" w:type="dxa"/>
            </w:tcMar>
            <w:vAlign w:val="center"/>
          </w:tcPr>
          <w:p w14:paraId="35E8E4BB">
            <w:pPr>
              <w:keepNext w:val="0"/>
              <w:keepLines w:val="0"/>
              <w:pageBreakBefore w:val="0"/>
              <w:kinsoku/>
              <w:wordWrap/>
              <w:overflowPunct/>
              <w:topLinePunct w:val="0"/>
              <w:autoSpaceDE/>
              <w:autoSpaceDN/>
              <w:bidi w:val="0"/>
              <w:adjustRightInd/>
              <w:snapToGrid/>
              <w:spacing w:line="300" w:lineRule="exact"/>
              <w:ind w:left="0" w:leftChars="0"/>
              <w:textAlignment w:val="auto"/>
              <w:rPr>
                <w:rFonts w:ascii="黑体" w:hAnsi="黑体" w:eastAsia="黑体"/>
                <w:szCs w:val="21"/>
              </w:rPr>
            </w:pPr>
          </w:p>
        </w:tc>
        <w:tc>
          <w:tcPr>
            <w:tcW w:w="2976" w:type="dxa"/>
            <w:shd w:val="clear" w:color="auto" w:fill="auto"/>
            <w:tcMar>
              <w:left w:w="108" w:type="dxa"/>
              <w:right w:w="108" w:type="dxa"/>
            </w:tcMar>
            <w:vAlign w:val="center"/>
          </w:tcPr>
          <w:p w14:paraId="1087E291">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14:paraId="25BD099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1089497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rPr>
                <w:rFonts w:ascii="黑体" w:hAnsi="黑体" w:eastAsia="黑体"/>
                <w:szCs w:val="21"/>
              </w:rPr>
            </w:pPr>
          </w:p>
        </w:tc>
        <w:tc>
          <w:tcPr>
            <w:tcW w:w="1701" w:type="dxa"/>
            <w:vMerge w:val="continue"/>
            <w:shd w:val="clear" w:color="auto" w:fill="auto"/>
            <w:tcMar>
              <w:left w:w="108" w:type="dxa"/>
              <w:right w:w="108" w:type="dxa"/>
            </w:tcMar>
            <w:vAlign w:val="center"/>
          </w:tcPr>
          <w:p w14:paraId="0A7C70AE">
            <w:pPr>
              <w:keepNext w:val="0"/>
              <w:keepLines w:val="0"/>
              <w:pageBreakBefore w:val="0"/>
              <w:kinsoku/>
              <w:wordWrap/>
              <w:overflowPunct/>
              <w:topLinePunct w:val="0"/>
              <w:autoSpaceDE/>
              <w:autoSpaceDN/>
              <w:bidi w:val="0"/>
              <w:adjustRightInd/>
              <w:snapToGrid/>
              <w:spacing w:line="300" w:lineRule="exact"/>
              <w:ind w:left="0" w:leftChars="0"/>
              <w:textAlignment w:val="auto"/>
              <w:rPr>
                <w:rFonts w:ascii="黑体" w:hAnsi="黑体" w:eastAsia="黑体"/>
                <w:szCs w:val="21"/>
              </w:rPr>
            </w:pPr>
          </w:p>
        </w:tc>
        <w:tc>
          <w:tcPr>
            <w:tcW w:w="2976" w:type="dxa"/>
            <w:shd w:val="clear" w:color="auto" w:fill="auto"/>
            <w:tcMar>
              <w:left w:w="108" w:type="dxa"/>
              <w:right w:w="108" w:type="dxa"/>
            </w:tcMar>
            <w:vAlign w:val="center"/>
          </w:tcPr>
          <w:p w14:paraId="19838D1A">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14:paraId="62EFA37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07B7239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rPr>
                <w:rFonts w:ascii="黑体" w:hAnsi="黑体" w:eastAsia="黑体"/>
                <w:szCs w:val="21"/>
              </w:rPr>
            </w:pPr>
          </w:p>
        </w:tc>
        <w:tc>
          <w:tcPr>
            <w:tcW w:w="1701" w:type="dxa"/>
            <w:vMerge w:val="continue"/>
            <w:shd w:val="clear" w:color="auto" w:fill="auto"/>
            <w:tcMar>
              <w:left w:w="108" w:type="dxa"/>
              <w:right w:w="108" w:type="dxa"/>
            </w:tcMar>
            <w:vAlign w:val="center"/>
          </w:tcPr>
          <w:p w14:paraId="2E92121A">
            <w:pPr>
              <w:keepNext w:val="0"/>
              <w:keepLines w:val="0"/>
              <w:pageBreakBefore w:val="0"/>
              <w:kinsoku/>
              <w:wordWrap/>
              <w:overflowPunct/>
              <w:topLinePunct w:val="0"/>
              <w:autoSpaceDE/>
              <w:autoSpaceDN/>
              <w:bidi w:val="0"/>
              <w:adjustRightInd/>
              <w:snapToGrid/>
              <w:spacing w:line="300" w:lineRule="exact"/>
              <w:ind w:left="0" w:leftChars="0"/>
              <w:textAlignment w:val="auto"/>
              <w:rPr>
                <w:rFonts w:ascii="黑体" w:hAnsi="黑体" w:eastAsia="黑体"/>
                <w:szCs w:val="21"/>
              </w:rPr>
            </w:pPr>
          </w:p>
        </w:tc>
        <w:tc>
          <w:tcPr>
            <w:tcW w:w="2976" w:type="dxa"/>
            <w:shd w:val="clear" w:color="auto" w:fill="auto"/>
            <w:tcMar>
              <w:left w:w="108" w:type="dxa"/>
              <w:right w:w="108" w:type="dxa"/>
            </w:tcMar>
            <w:vAlign w:val="center"/>
          </w:tcPr>
          <w:p w14:paraId="52C3C094">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14:paraId="1EDD9AA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3E952BC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39FC0AD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rPr>
                <w:rFonts w:ascii="黑体" w:hAnsi="黑体" w:eastAsia="黑体"/>
                <w:szCs w:val="21"/>
              </w:rPr>
            </w:pPr>
          </w:p>
        </w:tc>
        <w:tc>
          <w:tcPr>
            <w:tcW w:w="1701" w:type="dxa"/>
            <w:vMerge w:val="continue"/>
            <w:shd w:val="clear" w:color="auto" w:fill="auto"/>
            <w:tcMar>
              <w:left w:w="108" w:type="dxa"/>
              <w:right w:w="108" w:type="dxa"/>
            </w:tcMar>
            <w:vAlign w:val="center"/>
          </w:tcPr>
          <w:p w14:paraId="06B97E8D">
            <w:pPr>
              <w:keepNext w:val="0"/>
              <w:keepLines w:val="0"/>
              <w:pageBreakBefore w:val="0"/>
              <w:kinsoku/>
              <w:wordWrap/>
              <w:overflowPunct/>
              <w:topLinePunct w:val="0"/>
              <w:autoSpaceDE/>
              <w:autoSpaceDN/>
              <w:bidi w:val="0"/>
              <w:adjustRightInd/>
              <w:snapToGrid/>
              <w:spacing w:line="300" w:lineRule="exact"/>
              <w:ind w:left="0" w:leftChars="0"/>
              <w:textAlignment w:val="auto"/>
              <w:rPr>
                <w:rFonts w:ascii="黑体" w:hAnsi="黑体" w:eastAsia="黑体"/>
                <w:szCs w:val="21"/>
              </w:rPr>
            </w:pPr>
          </w:p>
        </w:tc>
        <w:tc>
          <w:tcPr>
            <w:tcW w:w="2976" w:type="dxa"/>
            <w:shd w:val="clear" w:color="auto" w:fill="auto"/>
            <w:tcMar>
              <w:left w:w="108" w:type="dxa"/>
              <w:right w:w="108" w:type="dxa"/>
            </w:tcMar>
            <w:vAlign w:val="center"/>
          </w:tcPr>
          <w:p w14:paraId="2AE73368">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14:paraId="708DC71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6341E7E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582C8F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rPr>
                <w:rFonts w:ascii="黑体" w:hAnsi="黑体" w:eastAsia="黑体"/>
                <w:szCs w:val="21"/>
              </w:rPr>
            </w:pPr>
          </w:p>
        </w:tc>
        <w:tc>
          <w:tcPr>
            <w:tcW w:w="1701" w:type="dxa"/>
            <w:vMerge w:val="continue"/>
            <w:shd w:val="clear" w:color="auto" w:fill="auto"/>
            <w:tcMar>
              <w:left w:w="108" w:type="dxa"/>
              <w:right w:w="108" w:type="dxa"/>
            </w:tcMar>
            <w:vAlign w:val="center"/>
          </w:tcPr>
          <w:p w14:paraId="5E25D430">
            <w:pPr>
              <w:keepNext w:val="0"/>
              <w:keepLines w:val="0"/>
              <w:pageBreakBefore w:val="0"/>
              <w:kinsoku/>
              <w:wordWrap/>
              <w:overflowPunct/>
              <w:topLinePunct w:val="0"/>
              <w:autoSpaceDE/>
              <w:autoSpaceDN/>
              <w:bidi w:val="0"/>
              <w:adjustRightInd/>
              <w:snapToGrid/>
              <w:spacing w:line="300" w:lineRule="exact"/>
              <w:ind w:left="0" w:leftChars="0"/>
              <w:textAlignment w:val="auto"/>
              <w:rPr>
                <w:rFonts w:ascii="黑体" w:hAnsi="黑体" w:eastAsia="黑体"/>
                <w:szCs w:val="21"/>
              </w:rPr>
            </w:pPr>
          </w:p>
        </w:tc>
        <w:tc>
          <w:tcPr>
            <w:tcW w:w="2976" w:type="dxa"/>
            <w:shd w:val="clear" w:color="auto" w:fill="auto"/>
            <w:tcMar>
              <w:left w:w="108" w:type="dxa"/>
              <w:right w:w="108" w:type="dxa"/>
            </w:tcMar>
            <w:vAlign w:val="center"/>
          </w:tcPr>
          <w:p w14:paraId="4F501163">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14:paraId="5E8E7CE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00C10D0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rPr>
                <w:rFonts w:ascii="黑体" w:hAnsi="黑体" w:eastAsia="黑体"/>
                <w:szCs w:val="21"/>
              </w:rPr>
            </w:pPr>
          </w:p>
        </w:tc>
        <w:tc>
          <w:tcPr>
            <w:tcW w:w="1701" w:type="dxa"/>
            <w:vMerge w:val="continue"/>
            <w:shd w:val="clear" w:color="auto" w:fill="auto"/>
            <w:tcMar>
              <w:left w:w="108" w:type="dxa"/>
              <w:right w:w="108" w:type="dxa"/>
            </w:tcMar>
            <w:vAlign w:val="center"/>
          </w:tcPr>
          <w:p w14:paraId="5F9EE043">
            <w:pPr>
              <w:keepNext w:val="0"/>
              <w:keepLines w:val="0"/>
              <w:pageBreakBefore w:val="0"/>
              <w:kinsoku/>
              <w:wordWrap/>
              <w:overflowPunct/>
              <w:topLinePunct w:val="0"/>
              <w:autoSpaceDE/>
              <w:autoSpaceDN/>
              <w:bidi w:val="0"/>
              <w:adjustRightInd/>
              <w:snapToGrid/>
              <w:spacing w:line="300" w:lineRule="exact"/>
              <w:ind w:left="0" w:leftChars="0"/>
              <w:textAlignment w:val="auto"/>
              <w:rPr>
                <w:rFonts w:ascii="黑体" w:hAnsi="黑体" w:eastAsia="黑体"/>
                <w:szCs w:val="21"/>
              </w:rPr>
            </w:pPr>
          </w:p>
        </w:tc>
        <w:tc>
          <w:tcPr>
            <w:tcW w:w="2976" w:type="dxa"/>
            <w:shd w:val="clear" w:color="auto" w:fill="auto"/>
            <w:tcMar>
              <w:left w:w="108" w:type="dxa"/>
              <w:right w:w="108" w:type="dxa"/>
            </w:tcMar>
            <w:vAlign w:val="center"/>
          </w:tcPr>
          <w:p w14:paraId="292A580B">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14:paraId="1B00453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54ECF18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rPr>
                <w:rFonts w:ascii="黑体" w:hAnsi="黑体" w:eastAsia="黑体"/>
                <w:szCs w:val="21"/>
              </w:rPr>
            </w:pPr>
          </w:p>
        </w:tc>
        <w:tc>
          <w:tcPr>
            <w:tcW w:w="1701" w:type="dxa"/>
            <w:vMerge w:val="restart"/>
            <w:shd w:val="clear" w:color="auto" w:fill="auto"/>
            <w:tcMar>
              <w:left w:w="108" w:type="dxa"/>
              <w:right w:w="108" w:type="dxa"/>
            </w:tcMar>
            <w:vAlign w:val="center"/>
          </w:tcPr>
          <w:p w14:paraId="0F47F490">
            <w:pPr>
              <w:keepNext w:val="0"/>
              <w:keepLines w:val="0"/>
              <w:pageBreakBefore w:val="0"/>
              <w:widowControl/>
              <w:kinsoku/>
              <w:wordWrap/>
              <w:overflowPunct/>
              <w:topLinePunct w:val="0"/>
              <w:autoSpaceDE/>
              <w:autoSpaceDN/>
              <w:bidi w:val="0"/>
              <w:adjustRightInd/>
              <w:snapToGrid/>
              <w:spacing w:line="300" w:lineRule="exact"/>
              <w:ind w:left="0" w:leftChars="0"/>
              <w:textAlignment w:val="auto"/>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D0D0E83">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14:paraId="579A72D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BC22BA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40CA6B6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0DF1DB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rPr>
                <w:rFonts w:ascii="黑体" w:hAnsi="黑体" w:eastAsia="黑体"/>
                <w:szCs w:val="21"/>
              </w:rPr>
            </w:pPr>
          </w:p>
        </w:tc>
        <w:tc>
          <w:tcPr>
            <w:tcW w:w="1701" w:type="dxa"/>
            <w:vMerge w:val="continue"/>
            <w:shd w:val="clear" w:color="auto" w:fill="auto"/>
            <w:tcMar>
              <w:left w:w="108" w:type="dxa"/>
              <w:right w:w="108" w:type="dxa"/>
            </w:tcMar>
            <w:vAlign w:val="center"/>
          </w:tcPr>
          <w:p w14:paraId="6BB3A0A8">
            <w:pPr>
              <w:keepNext w:val="0"/>
              <w:keepLines w:val="0"/>
              <w:pageBreakBefore w:val="0"/>
              <w:kinsoku/>
              <w:wordWrap/>
              <w:overflowPunct/>
              <w:topLinePunct w:val="0"/>
              <w:autoSpaceDE/>
              <w:autoSpaceDN/>
              <w:bidi w:val="0"/>
              <w:adjustRightInd/>
              <w:snapToGrid/>
              <w:spacing w:line="300" w:lineRule="exact"/>
              <w:ind w:left="0" w:leftChars="0"/>
              <w:textAlignment w:val="auto"/>
              <w:rPr>
                <w:rFonts w:ascii="黑体" w:hAnsi="黑体" w:eastAsia="黑体"/>
                <w:szCs w:val="21"/>
              </w:rPr>
            </w:pPr>
          </w:p>
        </w:tc>
        <w:tc>
          <w:tcPr>
            <w:tcW w:w="2976" w:type="dxa"/>
            <w:shd w:val="clear" w:color="auto" w:fill="auto"/>
            <w:tcMar>
              <w:left w:w="108" w:type="dxa"/>
              <w:right w:w="108" w:type="dxa"/>
            </w:tcMar>
            <w:vAlign w:val="center"/>
          </w:tcPr>
          <w:p w14:paraId="3191C697">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14:paraId="6BBD3D9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35B699A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D2A19C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rPr>
                <w:rFonts w:ascii="黑体" w:hAnsi="黑体" w:eastAsia="黑体"/>
                <w:szCs w:val="21"/>
              </w:rPr>
            </w:pPr>
          </w:p>
        </w:tc>
        <w:tc>
          <w:tcPr>
            <w:tcW w:w="1701" w:type="dxa"/>
            <w:vMerge w:val="continue"/>
            <w:shd w:val="clear" w:color="auto" w:fill="auto"/>
            <w:tcMar>
              <w:left w:w="108" w:type="dxa"/>
              <w:right w:w="108" w:type="dxa"/>
            </w:tcMar>
            <w:vAlign w:val="center"/>
          </w:tcPr>
          <w:p w14:paraId="470165DA">
            <w:pPr>
              <w:keepNext w:val="0"/>
              <w:keepLines w:val="0"/>
              <w:pageBreakBefore w:val="0"/>
              <w:kinsoku/>
              <w:wordWrap/>
              <w:overflowPunct/>
              <w:topLinePunct w:val="0"/>
              <w:autoSpaceDE/>
              <w:autoSpaceDN/>
              <w:bidi w:val="0"/>
              <w:adjustRightInd/>
              <w:snapToGrid/>
              <w:spacing w:line="300" w:lineRule="exact"/>
              <w:ind w:left="0" w:leftChars="0"/>
              <w:textAlignment w:val="auto"/>
              <w:rPr>
                <w:rFonts w:ascii="黑体" w:hAnsi="黑体" w:eastAsia="黑体"/>
                <w:szCs w:val="21"/>
              </w:rPr>
            </w:pPr>
          </w:p>
        </w:tc>
        <w:tc>
          <w:tcPr>
            <w:tcW w:w="2976" w:type="dxa"/>
            <w:shd w:val="clear" w:color="auto" w:fill="auto"/>
            <w:tcMar>
              <w:left w:w="108" w:type="dxa"/>
              <w:right w:w="108" w:type="dxa"/>
            </w:tcMar>
            <w:vAlign w:val="center"/>
          </w:tcPr>
          <w:p w14:paraId="2B77E1B6">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14:paraId="0446EA4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34A3827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rPr>
                <w:rFonts w:ascii="黑体" w:hAnsi="黑体" w:eastAsia="黑体"/>
                <w:szCs w:val="21"/>
              </w:rPr>
            </w:pPr>
          </w:p>
        </w:tc>
        <w:tc>
          <w:tcPr>
            <w:tcW w:w="1701" w:type="dxa"/>
            <w:vMerge w:val="restart"/>
            <w:shd w:val="clear" w:color="auto" w:fill="auto"/>
            <w:tcMar>
              <w:left w:w="108" w:type="dxa"/>
              <w:right w:w="108" w:type="dxa"/>
            </w:tcMar>
            <w:vAlign w:val="center"/>
          </w:tcPr>
          <w:p w14:paraId="3D4C128B">
            <w:pPr>
              <w:keepNext w:val="0"/>
              <w:keepLines w:val="0"/>
              <w:pageBreakBefore w:val="0"/>
              <w:widowControl/>
              <w:kinsoku/>
              <w:wordWrap/>
              <w:overflowPunct/>
              <w:topLinePunct w:val="0"/>
              <w:autoSpaceDE/>
              <w:autoSpaceDN/>
              <w:bidi w:val="0"/>
              <w:adjustRightInd/>
              <w:snapToGrid/>
              <w:spacing w:line="300" w:lineRule="exact"/>
              <w:ind w:left="0" w:leftChars="0"/>
              <w:textAlignment w:val="auto"/>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738EF42A">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14:paraId="4857014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4254BDA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rPr>
                <w:rFonts w:ascii="黑体" w:hAnsi="黑体" w:eastAsia="黑体"/>
                <w:szCs w:val="21"/>
              </w:rPr>
            </w:pPr>
          </w:p>
        </w:tc>
        <w:tc>
          <w:tcPr>
            <w:tcW w:w="1701" w:type="dxa"/>
            <w:vMerge w:val="continue"/>
            <w:shd w:val="clear" w:color="auto" w:fill="auto"/>
            <w:tcMar>
              <w:left w:w="108" w:type="dxa"/>
              <w:right w:w="108" w:type="dxa"/>
            </w:tcMar>
            <w:vAlign w:val="center"/>
          </w:tcPr>
          <w:p w14:paraId="043CAA8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BD8AD06">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14:paraId="3B5364D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0CCA6F6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rPr>
                <w:rFonts w:ascii="黑体" w:hAnsi="黑体" w:eastAsia="黑体"/>
                <w:szCs w:val="21"/>
              </w:rPr>
            </w:pPr>
          </w:p>
        </w:tc>
        <w:tc>
          <w:tcPr>
            <w:tcW w:w="1701" w:type="dxa"/>
            <w:vMerge w:val="continue"/>
            <w:shd w:val="clear" w:color="auto" w:fill="auto"/>
            <w:tcMar>
              <w:left w:w="108" w:type="dxa"/>
              <w:right w:w="108" w:type="dxa"/>
            </w:tcMar>
            <w:vAlign w:val="center"/>
          </w:tcPr>
          <w:p w14:paraId="454B8E2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BD9A97">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14:paraId="1595AA6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6A3FB65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rPr>
                <w:rFonts w:ascii="黑体" w:hAnsi="黑体" w:eastAsia="黑体"/>
                <w:szCs w:val="21"/>
              </w:rPr>
            </w:pPr>
          </w:p>
        </w:tc>
        <w:tc>
          <w:tcPr>
            <w:tcW w:w="1701" w:type="dxa"/>
            <w:vMerge w:val="continue"/>
            <w:shd w:val="clear" w:color="auto" w:fill="auto"/>
            <w:tcMar>
              <w:left w:w="108" w:type="dxa"/>
              <w:right w:w="108" w:type="dxa"/>
            </w:tcMar>
            <w:vAlign w:val="center"/>
          </w:tcPr>
          <w:p w14:paraId="36A2C1E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CAA27F1">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14:paraId="3877B2C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53A01B8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rPr>
                <w:rFonts w:ascii="黑体" w:hAnsi="黑体" w:eastAsia="黑体"/>
                <w:szCs w:val="21"/>
              </w:rPr>
            </w:pPr>
          </w:p>
        </w:tc>
        <w:tc>
          <w:tcPr>
            <w:tcW w:w="1701" w:type="dxa"/>
            <w:vMerge w:val="continue"/>
            <w:shd w:val="clear" w:color="auto" w:fill="auto"/>
            <w:tcMar>
              <w:left w:w="108" w:type="dxa"/>
              <w:right w:w="108" w:type="dxa"/>
            </w:tcMar>
            <w:vAlign w:val="center"/>
          </w:tcPr>
          <w:p w14:paraId="4785326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27143C0">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E4B5DD">
            <w:pPr>
              <w:keepNext w:val="0"/>
              <w:keepLines w:val="0"/>
              <w:pageBreakBefore w:val="0"/>
              <w:widowControl/>
              <w:kinsoku/>
              <w:wordWrap/>
              <w:overflowPunct/>
              <w:topLinePunct w:val="0"/>
              <w:autoSpaceDE/>
              <w:autoSpaceDN/>
              <w:bidi w:val="0"/>
              <w:adjustRightInd/>
              <w:snapToGrid/>
              <w:spacing w:line="300" w:lineRule="exact"/>
              <w:ind w:firstLine="199"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14:paraId="12A742E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1D76D0A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rPr>
                <w:rFonts w:ascii="黑体" w:hAnsi="黑体" w:eastAsia="黑体"/>
                <w:szCs w:val="21"/>
              </w:rPr>
            </w:pPr>
          </w:p>
        </w:tc>
        <w:tc>
          <w:tcPr>
            <w:tcW w:w="1701" w:type="dxa"/>
            <w:vMerge w:val="restart"/>
            <w:shd w:val="clear" w:color="auto" w:fill="auto"/>
            <w:tcMar>
              <w:left w:w="108" w:type="dxa"/>
              <w:right w:w="108" w:type="dxa"/>
            </w:tcMar>
            <w:vAlign w:val="center"/>
          </w:tcPr>
          <w:p w14:paraId="534DC083">
            <w:pPr>
              <w:keepNext w:val="0"/>
              <w:keepLines w:val="0"/>
              <w:pageBreakBefore w:val="0"/>
              <w:widowControl/>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786BAE4">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76AF782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rPr>
                <w:rFonts w:ascii="黑体" w:hAnsi="黑体" w:eastAsia="黑体"/>
                <w:szCs w:val="21"/>
              </w:rPr>
            </w:pPr>
          </w:p>
        </w:tc>
        <w:tc>
          <w:tcPr>
            <w:tcW w:w="1701" w:type="dxa"/>
            <w:vMerge w:val="continue"/>
            <w:shd w:val="clear" w:color="auto" w:fill="auto"/>
            <w:tcMar>
              <w:left w:w="108" w:type="dxa"/>
              <w:right w:w="108" w:type="dxa"/>
            </w:tcMar>
            <w:vAlign w:val="center"/>
          </w:tcPr>
          <w:p w14:paraId="227109B0">
            <w:pPr>
              <w:widowControl/>
              <w:spacing w:line="300" w:lineRule="exact"/>
              <w:rPr>
                <w:rFonts w:ascii="黑体" w:hAnsi="黑体" w:eastAsia="黑体"/>
                <w:kern w:val="0"/>
                <w:szCs w:val="21"/>
              </w:rPr>
            </w:pPr>
          </w:p>
        </w:tc>
        <w:tc>
          <w:tcPr>
            <w:tcW w:w="2976" w:type="dxa"/>
            <w:shd w:val="clear" w:color="auto" w:fill="auto"/>
            <w:vAlign w:val="center"/>
          </w:tcPr>
          <w:p w14:paraId="6E424221">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8CEEE85">
            <w:pPr>
              <w:widowControl/>
              <w:spacing w:line="240" w:lineRule="exact"/>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0552B7">
            <w:pPr>
              <w:rPr>
                <w:rFonts w:ascii="黑体" w:hAnsi="黑体" w:eastAsia="黑体"/>
                <w:szCs w:val="21"/>
              </w:rPr>
            </w:pPr>
          </w:p>
        </w:tc>
        <w:tc>
          <w:tcPr>
            <w:tcW w:w="1701" w:type="dxa"/>
            <w:vMerge w:val="continue"/>
            <w:shd w:val="clear" w:color="auto" w:fill="auto"/>
            <w:tcMar>
              <w:left w:w="108" w:type="dxa"/>
              <w:right w:w="108" w:type="dxa"/>
            </w:tcMar>
            <w:vAlign w:val="center"/>
          </w:tcPr>
          <w:p w14:paraId="6B0DEA0D">
            <w:pPr>
              <w:widowControl/>
              <w:spacing w:line="300" w:lineRule="exact"/>
              <w:rPr>
                <w:rFonts w:ascii="黑体" w:hAnsi="黑体" w:eastAsia="黑体"/>
                <w:kern w:val="0"/>
                <w:szCs w:val="21"/>
              </w:rPr>
            </w:pPr>
          </w:p>
        </w:tc>
        <w:tc>
          <w:tcPr>
            <w:tcW w:w="2976" w:type="dxa"/>
            <w:shd w:val="clear" w:color="auto" w:fill="auto"/>
            <w:vAlign w:val="center"/>
          </w:tcPr>
          <w:p w14:paraId="17ECD16F">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14:paraId="269D0033">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rPr>
                <w:rFonts w:ascii="黑体" w:hAnsi="黑体" w:eastAsia="黑体"/>
                <w:szCs w:val="21"/>
              </w:rPr>
            </w:pPr>
          </w:p>
        </w:tc>
        <w:tc>
          <w:tcPr>
            <w:tcW w:w="4677" w:type="dxa"/>
            <w:gridSpan w:val="2"/>
            <w:shd w:val="clear" w:color="auto" w:fill="auto"/>
            <w:tcMar>
              <w:left w:w="108" w:type="dxa"/>
              <w:right w:w="108" w:type="dxa"/>
            </w:tcMar>
            <w:vAlign w:val="center"/>
          </w:tcPr>
          <w:p w14:paraId="4186835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14:paraId="67AFBED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2992A8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bl>
    <w:p w14:paraId="55BE112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30A60405">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0" w:leftChars="-21" w:right="-125"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72B1D870">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076E4088">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24DBF162">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6D1FBE5B">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64" w:leftChars="-83" w:right="-127"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64" w:leftChars="-83" w:right="-127"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3" w:leftChars="-33" w:right="-99"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宋体"/>
                <w:lang w:val="en-US" w:eastAsia="zh-CN"/>
              </w:rPr>
            </w:pPr>
            <w:r>
              <w:rPr>
                <w:rFonts w:hint="eastAsia"/>
                <w:lang w:val="en-US" w:eastAsia="zh-CN"/>
              </w:rPr>
              <w:t>0</w:t>
            </w:r>
          </w:p>
        </w:tc>
      </w:tr>
    </w:tbl>
    <w:p w14:paraId="0D641DF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五、存在的主要问题及改进情况</w:t>
      </w:r>
    </w:p>
    <w:p w14:paraId="310AD5F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整体上看，2025年度政府信息公开工作虽然取得了一些成绩，但在如何围绕政策举措开展多层次、多元化解读方面还有一定差距。下一步，我们将聚焦让政策“活”起来，加大政策解读和宣传力度，</w:t>
      </w:r>
      <w:r>
        <w:rPr>
          <w:rFonts w:hint="eastAsia" w:ascii="仿宋_GB2312" w:hAnsi="仿宋_GB2312" w:eastAsia="仿宋_GB2312" w:cs="仿宋_GB2312"/>
          <w:color w:val="auto"/>
          <w:kern w:val="2"/>
          <w:sz w:val="32"/>
          <w:szCs w:val="32"/>
          <w:lang w:eastAsia="zh-CN"/>
        </w:rPr>
        <w:t>采用文字解读、政策问答等方式，全方位阐释政策内涵，</w:t>
      </w:r>
      <w:r>
        <w:rPr>
          <w:rFonts w:hint="eastAsia" w:ascii="仿宋_GB2312" w:hAnsi="仿宋_GB2312" w:eastAsia="仿宋_GB2312" w:cs="仿宋_GB2312"/>
          <w:color w:val="auto"/>
          <w:kern w:val="2"/>
          <w:sz w:val="32"/>
          <w:szCs w:val="32"/>
        </w:rPr>
        <w:t>积极拓展重点领域信息公开的广度和深度，让人社政策更加看得懂、记得住、用得上</w:t>
      </w:r>
      <w:r>
        <w:rPr>
          <w:rFonts w:hint="eastAsia" w:ascii="仿宋_GB2312" w:hAnsi="仿宋_GB2312" w:eastAsia="仿宋_GB2312" w:cs="仿宋_GB2312"/>
          <w:b/>
          <w:color w:val="auto"/>
          <w:kern w:val="2"/>
          <w:sz w:val="32"/>
          <w:szCs w:val="32"/>
        </w:rPr>
        <w:t>。</w:t>
      </w:r>
      <w:r>
        <w:rPr>
          <w:rFonts w:hint="eastAsia" w:ascii="仿宋_GB2312" w:hAnsi="仿宋_GB2312" w:eastAsia="仿宋_GB2312" w:cs="仿宋_GB2312"/>
          <w:b/>
          <w:color w:val="auto"/>
          <w:kern w:val="2"/>
          <w:sz w:val="32"/>
          <w:szCs w:val="32"/>
          <w:lang w:val="en-US" w:eastAsia="zh-CN"/>
        </w:rPr>
        <w:t xml:space="preserve"> </w:t>
      </w:r>
    </w:p>
    <w:p w14:paraId="49F097C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六、其他需要报告的事项</w:t>
      </w:r>
    </w:p>
    <w:p w14:paraId="6E6189D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（一）收取信息处理费情况</w:t>
      </w:r>
    </w:p>
    <w:p w14:paraId="432D20E4">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年，区</w:t>
      </w:r>
      <w:r>
        <w:rPr>
          <w:rFonts w:hint="eastAsia" w:ascii="仿宋_GB2312" w:hAnsi="仿宋_GB2312" w:eastAsia="仿宋_GB2312" w:cs="仿宋_GB2312"/>
          <w:color w:val="000000" w:themeColor="text1"/>
          <w:sz w:val="32"/>
          <w:szCs w:val="32"/>
          <w:lang w:eastAsia="zh-CN"/>
          <w14:textFill>
            <w14:solidFill>
              <w14:schemeClr w14:val="tx1"/>
            </w14:solidFill>
          </w14:textFill>
        </w:rPr>
        <w:t>人力资源和社会保障局</w:t>
      </w:r>
      <w:r>
        <w:rPr>
          <w:rFonts w:hint="eastAsia" w:ascii="仿宋_GB2312" w:hAnsi="仿宋_GB2312" w:eastAsia="仿宋_GB2312" w:cs="仿宋_GB2312"/>
          <w:color w:val="000000" w:themeColor="text1"/>
          <w:sz w:val="32"/>
          <w:szCs w:val="32"/>
          <w14:textFill>
            <w14:solidFill>
              <w14:schemeClr w14:val="tx1"/>
            </w14:solidFill>
          </w14:textFill>
        </w:rPr>
        <w:t>不存在因信息处理收取相关费用的情况</w:t>
      </w:r>
      <w:r>
        <w:rPr>
          <w:rFonts w:ascii="仿宋_GB2312" w:hAnsi="仿宋_GB2312" w:eastAsia="仿宋_GB2312" w:cs="仿宋_GB2312"/>
          <w:color w:val="000000" w:themeColor="text1"/>
          <w:sz w:val="32"/>
          <w:szCs w:val="32"/>
          <w14:textFill>
            <w14:solidFill>
              <w14:schemeClr w14:val="tx1"/>
            </w14:solidFill>
          </w14:textFill>
        </w:rPr>
        <w:t>。</w:t>
      </w:r>
    </w:p>
    <w:p w14:paraId="05D6F546">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（二）落实上级年度政务公开工作要点情况</w:t>
      </w:r>
    </w:p>
    <w:p w14:paraId="228C28B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区人力资源和社会保障局严格按照上级政务公开工作要点开展工作，</w:t>
      </w:r>
      <w:r>
        <w:rPr>
          <w:rFonts w:hint="eastAsia" w:ascii="仿宋_GB2312" w:eastAsia="仿宋_GB2312"/>
          <w:color w:val="000000" w:themeColor="text1"/>
          <w:sz w:val="32"/>
          <w:szCs w:val="32"/>
          <w:lang w:eastAsia="zh-CN"/>
          <w14:textFill>
            <w14:solidFill>
              <w14:schemeClr w14:val="tx1"/>
            </w14:solidFill>
          </w14:textFill>
        </w:rPr>
        <w:t>精准发力，扎实推进各项工作落地见效</w:t>
      </w:r>
      <w:r>
        <w:rPr>
          <w:rFonts w:ascii="仿宋_GB2312" w:hAnsi="仿宋_GB2312" w:eastAsia="仿宋_GB2312" w:cs="仿宋_GB2312"/>
          <w:color w:val="000000" w:themeColor="text1"/>
          <w:sz w:val="32"/>
          <w:szCs w:val="32"/>
          <w14:textFill>
            <w14:solidFill>
              <w14:schemeClr w14:val="tx1"/>
            </w14:solidFill>
          </w14:textFill>
        </w:rPr>
        <w:t>。</w:t>
      </w:r>
    </w:p>
    <w:p w14:paraId="7674EC5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（三）人大代表建议和政协提案办理结果公开情况</w:t>
      </w:r>
    </w:p>
    <w:p w14:paraId="253E752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2025年度区人力资源和社会保障局协办市十七届人大五次会议代表建议1件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办市政协十一届四次会议提案9件，其中主办3件，协办6件；协办区十三届人大四次会议代表建议2件；承办区政协十届四次会议提案9件，其中主办1件，协办8件；所有承办的建议提案均在规定的时限内答复完毕，并将主办件在区政府网站建议提案办理专栏进行了主动公开。</w:t>
      </w:r>
    </w:p>
    <w:p w14:paraId="68202A49">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（四）政务公开工作创新情况</w:t>
      </w:r>
    </w:p>
    <w:p w14:paraId="27A0498E">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w:t>
      </w:r>
    </w:p>
    <w:p w14:paraId="4B32817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（五）本行政机关政府信息公开工作年度报告数据统计需要说明的事项</w:t>
      </w:r>
    </w:p>
    <w:p w14:paraId="3430C55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报告中所列数据的统计期限自</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年1月1日起至</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年12月31日止。</w:t>
      </w:r>
    </w:p>
    <w:p w14:paraId="5E0547C5">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（六）本行政机关认为需要报告的其他事项</w:t>
      </w:r>
    </w:p>
    <w:p w14:paraId="44C37442">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w:t>
      </w:r>
    </w:p>
    <w:p w14:paraId="29EB843A">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（七）其他有关文件专门要求通过政府信息公开工作年度报告予以报告的事项</w:t>
      </w:r>
    </w:p>
    <w:p w14:paraId="3F3F312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w:t>
      </w:r>
    </w:p>
    <w:p w14:paraId="1E0F3230">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台儿庄区人力资源和社会保障局</w:t>
      </w:r>
    </w:p>
    <w:p w14:paraId="7D19D113">
      <w:pPr>
        <w:spacing w:line="560" w:lineRule="exact"/>
        <w:ind w:firstLine="618" w:firstLineChars="200"/>
        <w:jc w:val="righ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2026年1月15日</w:t>
      </w:r>
    </w:p>
    <w:p w14:paraId="6EEAADEE">
      <w:pPr>
        <w:ind w:firstLine="458" w:firstLineChars="200"/>
        <w:rPr>
          <w:rFonts w:ascii="宋体" w:hAnsi="宋体" w:cs="宋体"/>
          <w:color w:val="0000FF"/>
          <w:sz w:val="24"/>
          <w:szCs w:val="24"/>
          <w:shd w:val="clear" w:color="auto" w:fill="FFFFFF"/>
        </w:rPr>
      </w:pPr>
    </w:p>
    <w:p w14:paraId="77D8E9CF">
      <w:pPr>
        <w:spacing w:line="600" w:lineRule="exact"/>
        <w:ind w:firstLine="618" w:firstLineChars="200"/>
        <w:rPr>
          <w:rFonts w:ascii="仿宋_GB2312" w:hAnsi="仿宋_GB2312" w:eastAsia="仿宋_GB2312" w:cs="Calibri"/>
          <w:sz w:val="32"/>
          <w:szCs w:val="32"/>
          <w:shd w:val="clear" w:color="auto" w:fill="FFFFFF"/>
        </w:rPr>
      </w:pPr>
      <w:bookmarkStart w:id="10" w:name="_GoBack"/>
      <w:bookmarkEnd w:id="10"/>
    </w:p>
    <w:sectPr>
      <w:footerReference r:id="rId3" w:type="default"/>
      <w:footerReference r:id="rId4" w:type="even"/>
      <w:pgSz w:w="11906" w:h="16838"/>
      <w:pgMar w:top="1985"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１</w:t>
    </w:r>
    <w:r>
      <w:rPr>
        <w:rStyle w:val="14"/>
        <w:rFonts w:ascii="宋体" w:hAnsi="宋体"/>
        <w:sz w:val="28"/>
        <w:szCs w:val="28"/>
      </w:rPr>
      <w:fldChar w:fldCharType="end"/>
    </w:r>
    <w:r>
      <w:rPr>
        <w:rStyle w:val="14"/>
        <w:rFonts w:hint="eastAsia" w:ascii="宋体" w:hAnsi="宋体"/>
        <w:sz w:val="28"/>
        <w:szCs w:val="28"/>
      </w:rPr>
      <w:t>—</w:t>
    </w:r>
  </w:p>
  <w:p w14:paraId="3F2D9BB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２</w:t>
    </w:r>
    <w:r>
      <w:rPr>
        <w:rStyle w:val="14"/>
        <w:rFonts w:ascii="宋体" w:hAnsi="宋体"/>
        <w:sz w:val="28"/>
        <w:szCs w:val="28"/>
      </w:rPr>
      <w:fldChar w:fldCharType="end"/>
    </w:r>
    <w:r>
      <w:rPr>
        <w:rStyle w:val="14"/>
        <w:rFonts w:hint="eastAsia" w:ascii="宋体" w:hAnsi="宋体"/>
        <w:sz w:val="28"/>
        <w:szCs w:val="28"/>
      </w:rPr>
      <w:t>—</w:t>
    </w:r>
  </w:p>
  <w:p w14:paraId="0737F09A">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HorizontalSpacing w:val="9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85C148C"/>
    <w:rsid w:val="147E4E1C"/>
    <w:rsid w:val="169F72CB"/>
    <w:rsid w:val="1ADD5D48"/>
    <w:rsid w:val="22DE784D"/>
    <w:rsid w:val="2B300A31"/>
    <w:rsid w:val="2E1B3EB1"/>
    <w:rsid w:val="34EC3754"/>
    <w:rsid w:val="3B5E96CB"/>
    <w:rsid w:val="3FE78241"/>
    <w:rsid w:val="42C6780A"/>
    <w:rsid w:val="4FFFADC0"/>
    <w:rsid w:val="57F95408"/>
    <w:rsid w:val="59BDE728"/>
    <w:rsid w:val="5A8D766B"/>
    <w:rsid w:val="5BEF5664"/>
    <w:rsid w:val="5CFDC638"/>
    <w:rsid w:val="5DF77933"/>
    <w:rsid w:val="5F1B5B86"/>
    <w:rsid w:val="60126AA6"/>
    <w:rsid w:val="63620412"/>
    <w:rsid w:val="65F8334A"/>
    <w:rsid w:val="6D573730"/>
    <w:rsid w:val="6DC33F9A"/>
    <w:rsid w:val="6F5E1F53"/>
    <w:rsid w:val="72E36D0B"/>
    <w:rsid w:val="752913AF"/>
    <w:rsid w:val="752F3AB5"/>
    <w:rsid w:val="761787C6"/>
    <w:rsid w:val="77F8480C"/>
    <w:rsid w:val="79EFAF21"/>
    <w:rsid w:val="7F7B8340"/>
    <w:rsid w:val="A5F996A9"/>
    <w:rsid w:val="C75F89AF"/>
    <w:rsid w:val="F55D0FCF"/>
    <w:rsid w:val="F56D6877"/>
    <w:rsid w:val="F5DA0C4B"/>
    <w:rsid w:val="F8E636C5"/>
    <w:rsid w:val="FBFE23B7"/>
    <w:rsid w:val="FD5E8FEF"/>
    <w:rsid w:val="FDF7852F"/>
    <w:rsid w:val="FEBFA064"/>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5"/>
    </w:pPr>
    <w:rPr>
      <w:rFonts w:ascii="仿宋_GB2312" w:eastAsia="仿宋_GB2312"/>
      <w:sz w:val="32"/>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3"/>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Char"/>
    <w:basedOn w:val="1"/>
    <w:qFormat/>
    <w:uiPriority w:val="0"/>
    <w:pPr>
      <w:widowControl/>
      <w:jc w:val="left"/>
    </w:pPr>
    <w:rPr>
      <w:rFonts w:ascii="Tahoma" w:hAnsi="Tahoma" w:cs="仿宋_GB2312"/>
      <w:kern w:val="0"/>
      <w:sz w:val="24"/>
    </w:rPr>
  </w:style>
  <w:style w:type="paragraph" w:customStyle="1" w:styleId="17">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2133</Words>
  <Characters>2299</Characters>
  <Lines>19</Lines>
  <Paragraphs>5</Paragraphs>
  <TotalTime>22</TotalTime>
  <ScaleCrop>false</ScaleCrop>
  <LinksUpToDate>false</LinksUpToDate>
  <CharactersWithSpaces>2338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2025-01-09T10:43:00Z</dcterms:created>
  <dc:creator>Administrator</dc:creator>
  <cp:lastModifiedBy>user</cp:lastModifiedBy>
  <cp:lastPrinted>2026-01-15T09:18:10Z</cp:lastPrinted>
  <dcterms:modified xsi:type="dcterms:W3CDTF">2026-01-15T09:18:14Z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BEF443B2F56AEF7E00126669B3244B45_43</vt:lpwstr>
  </property>
  <property fmtid="{D5CDD505-2E9C-101B-9397-08002B2CF9AE}" pid="3" name="KSOProductBuildVer">
    <vt:lpwstr>2052-12.8.2.20327</vt:lpwstr>
  </property>
  <property fmtid="{D5CDD505-2E9C-101B-9397-08002B2CF9AE}" pid="4" name="KSOTemplateDocerSaveRecord">
    <vt:lpwstr>eyJoZGlkIjoiMjA5YzU0YWI5NWNiMThkYjBmZTRiN2MzZTc1YWYxY2QiLCJ1c2VySWQiOiI2Nzk2NDQyNzkifQ==</vt:lpwstr>
  </property>
</Properties>
</file>