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5483">
      <w:pPr>
        <w:widowControl/>
        <w:spacing w:line="560" w:lineRule="exact"/>
        <w:jc w:val="center"/>
        <w:rPr>
          <w:rFonts w:ascii="方正小标宋简体" w:hAnsi="楷体_GB2312" w:eastAsia="方正小标宋简体" w:cs="楷体_GB2312"/>
          <w:color w:val="000000"/>
          <w:kern w:val="0"/>
          <w:sz w:val="44"/>
          <w:szCs w:val="44"/>
        </w:rPr>
      </w:pPr>
      <w:r>
        <w:rPr>
          <w:rFonts w:hint="eastAsia" w:ascii="方正小标宋简体" w:hAnsi="楷体_GB2312" w:eastAsia="方正小标宋简体" w:cs="楷体_GB2312"/>
          <w:color w:val="000000"/>
          <w:kern w:val="0"/>
          <w:sz w:val="44"/>
          <w:szCs w:val="44"/>
        </w:rPr>
        <w:t>枣庄市台儿庄</w:t>
      </w:r>
      <w:r>
        <w:rPr>
          <w:rFonts w:ascii="方正小标宋简体" w:hAnsi="楷体_GB2312" w:eastAsia="方正小标宋简体" w:cs="楷体_GB2312"/>
          <w:color w:val="000000"/>
          <w:kern w:val="0"/>
          <w:sz w:val="44"/>
          <w:szCs w:val="44"/>
        </w:rPr>
        <w:t>区</w:t>
      </w:r>
      <w:r>
        <w:rPr>
          <w:rFonts w:hint="eastAsia" w:ascii="方正小标宋简体" w:hAnsi="楷体_GB2312" w:eastAsia="方正小标宋简体" w:cs="楷体_GB2312"/>
          <w:color w:val="000000"/>
          <w:kern w:val="0"/>
          <w:sz w:val="44"/>
          <w:szCs w:val="44"/>
        </w:rPr>
        <w:t>运河街道办事处</w:t>
      </w:r>
    </w:p>
    <w:p w14:paraId="289411F9">
      <w:pPr>
        <w:widowControl/>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5</w:t>
      </w:r>
      <w:r>
        <w:rPr>
          <w:rFonts w:hint="eastAsia" w:ascii="方正小标宋简体" w:hAnsi="方正小标宋简体" w:eastAsia="方正小标宋简体" w:cs="方正小标宋简体"/>
          <w:color w:val="000000"/>
          <w:kern w:val="0"/>
          <w:sz w:val="44"/>
          <w:szCs w:val="44"/>
        </w:rPr>
        <w:t>年政府信息公开工作年度报告</w:t>
      </w:r>
    </w:p>
    <w:p w14:paraId="676834AB">
      <w:pPr>
        <w:widowControl/>
        <w:spacing w:line="560" w:lineRule="exact"/>
        <w:rPr>
          <w:rFonts w:ascii="仿宋_GB2312" w:hAnsi="仿宋_GB2312" w:eastAsia="仿宋_GB2312" w:cs="仿宋_GB2312"/>
          <w:color w:val="000000"/>
          <w:kern w:val="0"/>
          <w:sz w:val="32"/>
          <w:szCs w:val="32"/>
        </w:rPr>
      </w:pPr>
    </w:p>
    <w:p w14:paraId="550E948B">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根据《中华人民共和国政府信息公开条例》规定，现公布运河街道办事处202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年政府信息公开工作年度报告</w:t>
      </w:r>
      <w:r>
        <w:rPr>
          <w:rFonts w:hint="eastAsia" w:ascii="仿宋_GB2312" w:hAnsi="仿宋_GB2312" w:eastAsia="仿宋_GB2312" w:cs="仿宋_GB2312"/>
          <w:sz w:val="32"/>
          <w:szCs w:val="32"/>
          <w:lang w:eastAsia="zh-CN"/>
        </w:rPr>
        <w:t>。内容包括总体情况、主动公开政府信息情况、收到和处理政府信息公开申请情况、政府信息公开行政复议和行政诉讼情况、存在的主要问题及改进情况、其他需要报告的事项六个部分。</w:t>
      </w:r>
      <w:r>
        <w:rPr>
          <w:rFonts w:hint="eastAsia" w:ascii="仿宋_GB2312" w:hAnsi="仿宋_GB2312" w:eastAsia="仿宋_GB2312" w:cs="仿宋_GB2312"/>
          <w:color w:val="000000"/>
          <w:kern w:val="0"/>
          <w:sz w:val="32"/>
          <w:szCs w:val="32"/>
        </w:rPr>
        <w:t>本报告所列数据统计期限</w:t>
      </w:r>
      <w:r>
        <w:rPr>
          <w:rFonts w:hint="eastAsia" w:ascii="仿宋_GB2312" w:hAnsi="仿宋_GB2312" w:eastAsia="仿宋_GB2312" w:cs="仿宋_GB2312"/>
          <w:color w:val="000000"/>
          <w:kern w:val="0"/>
          <w:sz w:val="32"/>
          <w:szCs w:val="32"/>
          <w:lang w:eastAsia="zh-CN"/>
        </w:rPr>
        <w:t>自</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年1月1日起至202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年12月31日。</w:t>
      </w:r>
      <w:r>
        <w:rPr>
          <w:rFonts w:ascii="仿宋_GB2312" w:hAnsi="仿宋_GB2312" w:eastAsia="仿宋_GB2312" w:cs="仿宋_GB2312"/>
          <w:sz w:val="32"/>
          <w:szCs w:val="32"/>
        </w:rPr>
        <w:t>如对本报告有疑问，请与运河街道办事处党政办公室联系（地址：台儿庄区兰祺路与长安路交叉口西50米；邮编：277400；联系电话：0632-6611891</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邮箱：yh321789@zz.shandong.cn）。</w:t>
      </w:r>
    </w:p>
    <w:p w14:paraId="1F1F8B44">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14:paraId="203E5049">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运河</w:t>
      </w:r>
      <w:r>
        <w:rPr>
          <w:rFonts w:hint="eastAsia" w:ascii="仿宋_GB2312" w:hAnsi="仿宋_GB2312" w:eastAsia="仿宋_GB2312" w:cs="仿宋_GB2312"/>
          <w:sz w:val="32"/>
          <w:szCs w:val="32"/>
        </w:rPr>
        <w:t>街道认真贯彻落实上级关于政务公开工作的部署要求，坚持以服务群众为导向，不断完善公开机制，规范公开流程，扎实推进政府信息公开工作，切实提升政府工作透明度和公信力。</w:t>
      </w:r>
    </w:p>
    <w:p w14:paraId="7DAA3CDC">
      <w:pPr>
        <w:widowControl/>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（一）主动公开方面。</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年，综合运用政府网站信息公开专栏、政务新媒体矩阵等多元传播渠道，聚焦社会保障、就业创业、养老社保、社会救助等重点民生领域，不断深化主动公开内容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持续提升信息公开透明度和信息可获知性。</w:t>
      </w:r>
    </w:p>
    <w:p w14:paraId="5F748CCE">
      <w:pPr>
        <w:widowControl/>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（二）依申请公开方面。</w:t>
      </w:r>
      <w:r>
        <w:rPr>
          <w:rFonts w:hint="eastAsia" w:ascii="仿宋_GB2312" w:hAnsi="仿宋_GB2312" w:eastAsia="仿宋_GB2312" w:cs="仿宋_GB2312"/>
          <w:sz w:val="32"/>
          <w:szCs w:val="32"/>
        </w:rPr>
        <w:t>不断完善政府信息依申请公开相关工作机制，畅通申请渠道，规范办理流程，严格执行登记、审核、办理、答复、归档</w:t>
      </w:r>
      <w:bookmarkStart w:id="10" w:name="_GoBack"/>
      <w:bookmarkEnd w:id="10"/>
      <w:r>
        <w:rPr>
          <w:rFonts w:hint="eastAsia" w:ascii="仿宋_GB2312" w:hAnsi="仿宋_GB2312" w:eastAsia="仿宋_GB2312" w:cs="仿宋_GB2312"/>
          <w:sz w:val="32"/>
          <w:szCs w:val="32"/>
        </w:rPr>
        <w:t>等环节，确保按时按规做出规范答复。</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收到政府信息公开申请</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w:t>
      </w:r>
      <w:r>
        <w:rPr>
          <w:rFonts w:ascii="仿宋_GB2312" w:hAnsi="仿宋_GB2312" w:eastAsia="仿宋_GB2312" w:cs="仿宋_GB2312"/>
          <w:color w:val="000000" w:themeColor="text1"/>
          <w:sz w:val="32"/>
          <w:szCs w:val="32"/>
          <w14:textFill>
            <w14:solidFill>
              <w14:schemeClr w14:val="tx1"/>
            </w14:solidFill>
          </w14:textFill>
        </w:rPr>
        <w:t>按时回复。</w:t>
      </w:r>
      <w:r>
        <w:rPr>
          <w:rFonts w:hint="eastAsia" w:ascii="仿宋_GB2312" w:hAnsi="仿宋_GB2312" w:eastAsia="仿宋_GB2312" w:cs="仿宋_GB2312"/>
          <w:color w:val="000000" w:themeColor="text1"/>
          <w:sz w:val="32"/>
          <w:szCs w:val="32"/>
          <w:lang w:eastAsia="zh-CN"/>
          <w14:textFill>
            <w14:solidFill>
              <w14:schemeClr w14:val="tx1"/>
            </w14:solidFill>
          </w14:textFill>
        </w:rPr>
        <w:t>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发生</w:t>
      </w:r>
      <w:r>
        <w:rPr>
          <w:rFonts w:hint="eastAsia" w:ascii="仿宋_GB2312" w:hAnsi="仿宋_GB2312" w:eastAsia="仿宋_GB2312" w:cs="仿宋_GB2312"/>
          <w:color w:val="000000" w:themeColor="text1"/>
          <w:sz w:val="32"/>
          <w:szCs w:val="32"/>
          <w14:textFill>
            <w14:solidFill>
              <w14:schemeClr w14:val="tx1"/>
            </w14:solidFill>
          </w14:textFill>
        </w:rPr>
        <w:t>因政府信息公开工作被申请行政复议、提起行政诉讼情况。</w:t>
      </w:r>
    </w:p>
    <w:p w14:paraId="11D8A0EE">
      <w:pPr>
        <w:widowControl/>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（三）政府信息管理方面。</w:t>
      </w:r>
      <w:r>
        <w:rPr>
          <w:rFonts w:hint="eastAsia" w:ascii="仿宋_GB2312" w:hAnsi="仿宋_GB2312" w:eastAsia="仿宋_GB2312" w:cs="仿宋_GB2312"/>
          <w:sz w:val="32"/>
          <w:szCs w:val="32"/>
        </w:rPr>
        <w:t>持续加强政府信息全生命周期管理，健全信息管理制度，明确信息获取、制作、保存、公开等各环节责任，编制发布主动公开事项目录，严格执行政府信息公开保密审查和“三审三校”制度，确保公开内容准确规范，严防国家秘密、商业秘密和个人隐私等泄露。全年未制发和公开行政规范性文件。</w:t>
      </w:r>
    </w:p>
    <w:p w14:paraId="68B9FD38">
      <w:pPr>
        <w:widowControl/>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（四）政府信息公开平台建设方面。</w:t>
      </w:r>
      <w:r>
        <w:rPr>
          <w:rFonts w:hint="eastAsia" w:ascii="仿宋_GB2312" w:hAnsi="仿宋_GB2312" w:eastAsia="仿宋_GB2312" w:cs="仿宋_GB2312"/>
          <w:sz w:val="32"/>
          <w:szCs w:val="32"/>
        </w:rPr>
        <w:t>统筹推进线上线下公开平台融合发展和优化升级，强化政府网站主阵地作用，及时更新信息公开指南，加强信息公开专栏内容建设和日常维护，确保信息发布准确、渠道畅通有效，做到数据同源。持续完善线下公开设施，规范设置政务公开栏，及时对低保、应急救助、特困供养、临时救助等惠民惠农补贴进行公示公开。</w:t>
      </w:r>
    </w:p>
    <w:p w14:paraId="7FCABC68">
      <w:pPr>
        <w:widowControl/>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（五）监督保障方面。</w:t>
      </w:r>
      <w:r>
        <w:rPr>
          <w:rFonts w:hint="eastAsia" w:ascii="仿宋_GB2312" w:hAnsi="仿宋_GB2312" w:eastAsia="仿宋_GB2312" w:cs="仿宋_GB2312"/>
          <w:sz w:val="32"/>
          <w:szCs w:val="32"/>
        </w:rPr>
        <w:t>将政务公开纳入重要议事日程，持续强化监督保障力度，明确主要负责人亲自抓、分管负责人具体抓、街道各单位及村（社区）协同落实的责任体系，定期研究部署工作。主动接受监督，自觉接受上级主管部门的指导检查，认真听取人大代表、政协委员和社会公众对政务公开工作的意见建议，定期开展自查评估，及时发现和整改问题，推动工作持续提升。</w:t>
      </w:r>
    </w:p>
    <w:p w14:paraId="44578673">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4"/>
        <w:tblW w:w="8824" w:type="dxa"/>
        <w:jc w:val="center"/>
        <w:tblLayout w:type="fixed"/>
        <w:tblCellMar>
          <w:top w:w="0" w:type="dxa"/>
          <w:left w:w="108" w:type="dxa"/>
          <w:bottom w:w="0" w:type="dxa"/>
          <w:right w:w="108" w:type="dxa"/>
        </w:tblCellMar>
      </w:tblPr>
      <w:tblGrid>
        <w:gridCol w:w="2206"/>
        <w:gridCol w:w="2206"/>
        <w:gridCol w:w="2206"/>
        <w:gridCol w:w="2206"/>
      </w:tblGrid>
      <w:tr w14:paraId="456F5E25">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BB80F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64DACB5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0467411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vAlign w:val="center"/>
          </w:tcPr>
          <w:p w14:paraId="2654701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vAlign w:val="center"/>
          </w:tcPr>
          <w:p w14:paraId="01BCB3D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vAlign w:val="center"/>
          </w:tcPr>
          <w:p w14:paraId="77CE051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57CF87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50E7B4B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vAlign w:val="center"/>
          </w:tcPr>
          <w:p w14:paraId="4B1FA1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vAlign w:val="center"/>
          </w:tcPr>
          <w:p w14:paraId="4798B27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vAlign w:val="center"/>
          </w:tcPr>
          <w:p w14:paraId="26E7B8EE">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rPr>
              <w:t>0</w:t>
            </w:r>
          </w:p>
        </w:tc>
      </w:tr>
      <w:tr w14:paraId="47E3EAA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087A5F9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vAlign w:val="center"/>
          </w:tcPr>
          <w:p w14:paraId="4DAE714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vAlign w:val="center"/>
          </w:tcPr>
          <w:p w14:paraId="3FE769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vAlign w:val="center"/>
          </w:tcPr>
          <w:p w14:paraId="54A2906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194FDE6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3DC3EA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9DC356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7B2DF10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14:paraId="164862B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2672FE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6534018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vAlign w:val="center"/>
          </w:tcPr>
          <w:p w14:paraId="13DF62AD">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7E0CC0F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6B6335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C96222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60EF4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14:paraId="5282AEA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543101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4281B42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vAlign w:val="center"/>
          </w:tcPr>
          <w:p w14:paraId="2B5B5E29">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6678C10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174A466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vAlign w:val="center"/>
          </w:tcPr>
          <w:p w14:paraId="352FEDFE">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565BB5C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0F7A84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8B2ED5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0B41A5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14:paraId="6415FA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6158EE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0897084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vAlign w:val="center"/>
          </w:tcPr>
          <w:p w14:paraId="0FAA8341">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bl>
    <w:p w14:paraId="6EB153A9">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36E84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tcMar>
              <w:left w:w="108" w:type="dxa"/>
              <w:right w:w="108" w:type="dxa"/>
            </w:tcMar>
            <w:vAlign w:val="center"/>
          </w:tcPr>
          <w:p w14:paraId="73695F69">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7EE0721">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tcMar>
              <w:left w:w="108" w:type="dxa"/>
              <w:right w:w="108" w:type="dxa"/>
            </w:tcMar>
            <w:vAlign w:val="center"/>
          </w:tcPr>
          <w:p w14:paraId="2575AB9E">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4D79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tcMar>
              <w:left w:w="108" w:type="dxa"/>
              <w:right w:w="108" w:type="dxa"/>
            </w:tcMar>
            <w:vAlign w:val="center"/>
          </w:tcPr>
          <w:p w14:paraId="6D843197">
            <w:pPr>
              <w:jc w:val="center"/>
              <w:rPr>
                <w:rFonts w:ascii="仿宋_GB2312" w:eastAsia="仿宋_GB2312"/>
                <w:szCs w:val="21"/>
              </w:rPr>
            </w:pPr>
          </w:p>
        </w:tc>
        <w:tc>
          <w:tcPr>
            <w:tcW w:w="752" w:type="dxa"/>
            <w:vMerge w:val="restart"/>
            <w:tcMar>
              <w:left w:w="108" w:type="dxa"/>
              <w:right w:w="108" w:type="dxa"/>
            </w:tcMar>
            <w:vAlign w:val="center"/>
          </w:tcPr>
          <w:p w14:paraId="3BB12AD0">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tcMar>
              <w:left w:w="108" w:type="dxa"/>
              <w:right w:w="108" w:type="dxa"/>
            </w:tcMar>
            <w:vAlign w:val="center"/>
          </w:tcPr>
          <w:p w14:paraId="47AAB707">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tcMar>
              <w:left w:w="108" w:type="dxa"/>
              <w:right w:w="108" w:type="dxa"/>
            </w:tcMar>
            <w:vAlign w:val="center"/>
          </w:tcPr>
          <w:p w14:paraId="3ACDEEDB">
            <w:pPr>
              <w:widowControl/>
              <w:jc w:val="center"/>
              <w:rPr>
                <w:rFonts w:ascii="黑体" w:hAnsi="黑体" w:eastAsia="黑体"/>
                <w:szCs w:val="21"/>
              </w:rPr>
            </w:pPr>
            <w:r>
              <w:rPr>
                <w:rFonts w:hint="eastAsia" w:ascii="黑体" w:hAnsi="黑体" w:eastAsia="黑体"/>
                <w:kern w:val="0"/>
                <w:szCs w:val="21"/>
              </w:rPr>
              <w:t>总计</w:t>
            </w:r>
          </w:p>
        </w:tc>
      </w:tr>
      <w:tr w14:paraId="4638C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tcMar>
              <w:left w:w="108" w:type="dxa"/>
              <w:right w:w="108" w:type="dxa"/>
            </w:tcMar>
            <w:vAlign w:val="center"/>
          </w:tcPr>
          <w:p w14:paraId="15CBAE97">
            <w:pPr>
              <w:jc w:val="center"/>
              <w:rPr>
                <w:rFonts w:ascii="仿宋_GB2312" w:eastAsia="仿宋_GB2312"/>
                <w:szCs w:val="21"/>
              </w:rPr>
            </w:pPr>
          </w:p>
        </w:tc>
        <w:tc>
          <w:tcPr>
            <w:tcW w:w="752" w:type="dxa"/>
            <w:vMerge w:val="continue"/>
            <w:tcMar>
              <w:left w:w="108" w:type="dxa"/>
              <w:right w:w="108" w:type="dxa"/>
            </w:tcMar>
            <w:vAlign w:val="center"/>
          </w:tcPr>
          <w:p w14:paraId="58A0A034">
            <w:pPr>
              <w:jc w:val="center"/>
              <w:rPr>
                <w:rFonts w:ascii="黑体" w:hAnsi="黑体" w:eastAsia="黑体"/>
                <w:szCs w:val="21"/>
              </w:rPr>
            </w:pPr>
          </w:p>
        </w:tc>
        <w:tc>
          <w:tcPr>
            <w:tcW w:w="540" w:type="dxa"/>
            <w:tcMar>
              <w:left w:w="108" w:type="dxa"/>
              <w:right w:w="108" w:type="dxa"/>
            </w:tcMar>
            <w:vAlign w:val="center"/>
          </w:tcPr>
          <w:p w14:paraId="70DDD13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tcMar>
              <w:left w:w="108" w:type="dxa"/>
              <w:right w:w="108" w:type="dxa"/>
            </w:tcMar>
            <w:vAlign w:val="center"/>
          </w:tcPr>
          <w:p w14:paraId="6E8C239B">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tcMar>
              <w:left w:w="108" w:type="dxa"/>
              <w:right w:w="108" w:type="dxa"/>
            </w:tcMar>
            <w:vAlign w:val="center"/>
          </w:tcPr>
          <w:p w14:paraId="3A9979B5">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tcMar>
              <w:left w:w="108" w:type="dxa"/>
              <w:right w:w="108" w:type="dxa"/>
            </w:tcMar>
            <w:vAlign w:val="center"/>
          </w:tcPr>
          <w:p w14:paraId="533AC61F">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tcMar>
              <w:left w:w="108" w:type="dxa"/>
              <w:right w:w="108" w:type="dxa"/>
            </w:tcMar>
            <w:vAlign w:val="center"/>
          </w:tcPr>
          <w:p w14:paraId="7FB4992C">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tcMar>
              <w:left w:w="108" w:type="dxa"/>
              <w:right w:w="108" w:type="dxa"/>
            </w:tcMar>
            <w:vAlign w:val="center"/>
          </w:tcPr>
          <w:p w14:paraId="6637856F">
            <w:pPr>
              <w:jc w:val="center"/>
              <w:rPr>
                <w:rFonts w:ascii="仿宋_GB2312" w:eastAsia="仿宋_GB2312"/>
                <w:szCs w:val="21"/>
              </w:rPr>
            </w:pPr>
          </w:p>
        </w:tc>
      </w:tr>
      <w:tr w14:paraId="1DCF0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tcMar>
              <w:left w:w="108" w:type="dxa"/>
              <w:right w:w="108" w:type="dxa"/>
            </w:tcMar>
            <w:vAlign w:val="center"/>
          </w:tcPr>
          <w:p w14:paraId="764FB8DC">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tcMar>
              <w:left w:w="108" w:type="dxa"/>
              <w:right w:w="108" w:type="dxa"/>
            </w:tcMar>
            <w:vAlign w:val="center"/>
          </w:tcPr>
          <w:p w14:paraId="4A4F310D">
            <w:pPr>
              <w:widowControl/>
              <w:spacing w:line="240" w:lineRule="exact"/>
              <w:jc w:val="center"/>
              <w:rPr>
                <w:rFonts w:ascii="仿宋_GB2312" w:eastAsia="仿宋_GB2312"/>
                <w:color w:val="000000"/>
                <w:szCs w:val="21"/>
                <w:highlight w:val="yellow"/>
              </w:rPr>
            </w:pPr>
            <w:r>
              <w:rPr>
                <w:rFonts w:hint="eastAsia" w:ascii="仿宋_GB2312" w:eastAsia="仿宋_GB2312"/>
                <w:color w:val="000000"/>
                <w:szCs w:val="21"/>
                <w:highlight w:val="none"/>
              </w:rPr>
              <w:t>1</w:t>
            </w:r>
          </w:p>
        </w:tc>
        <w:tc>
          <w:tcPr>
            <w:tcW w:w="540" w:type="dxa"/>
            <w:tcMar>
              <w:left w:w="108" w:type="dxa"/>
              <w:right w:w="108" w:type="dxa"/>
            </w:tcMar>
            <w:vAlign w:val="center"/>
          </w:tcPr>
          <w:p w14:paraId="4EDBA92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319E28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C0BD61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D42797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0B3F685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61ED2B23">
            <w:pPr>
              <w:widowControl/>
              <w:spacing w:line="240" w:lineRule="exact"/>
              <w:jc w:val="center"/>
              <w:rPr>
                <w:rFonts w:ascii="仿宋_GB2312" w:eastAsia="仿宋_GB2312"/>
                <w:color w:val="000000"/>
                <w:szCs w:val="21"/>
              </w:rPr>
            </w:pPr>
            <w:r>
              <w:rPr>
                <w:rFonts w:hint="eastAsia" w:ascii="仿宋_GB2312" w:eastAsia="仿宋_GB2312"/>
                <w:color w:val="000000"/>
                <w:szCs w:val="21"/>
                <w:highlight w:val="none"/>
              </w:rPr>
              <w:t>1</w:t>
            </w:r>
          </w:p>
        </w:tc>
      </w:tr>
      <w:tr w14:paraId="3C45C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tcMar>
              <w:left w:w="108" w:type="dxa"/>
              <w:right w:w="108" w:type="dxa"/>
            </w:tcMar>
            <w:vAlign w:val="center"/>
          </w:tcPr>
          <w:p w14:paraId="3AD41442">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tcMar>
              <w:left w:w="108" w:type="dxa"/>
              <w:right w:w="108" w:type="dxa"/>
            </w:tcMar>
            <w:vAlign w:val="center"/>
          </w:tcPr>
          <w:p w14:paraId="762AA18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696F4F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1075E3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77F716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C8D29F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0F0D21C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040BB85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11A29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tcMar>
              <w:left w:w="108" w:type="dxa"/>
              <w:right w:w="108" w:type="dxa"/>
            </w:tcMar>
            <w:vAlign w:val="center"/>
          </w:tcPr>
          <w:p w14:paraId="59990F57">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tcMar>
              <w:left w:w="108" w:type="dxa"/>
              <w:right w:w="108" w:type="dxa"/>
            </w:tcMar>
            <w:vAlign w:val="center"/>
          </w:tcPr>
          <w:p w14:paraId="7B297B37">
            <w:pPr>
              <w:widowControl/>
              <w:rPr>
                <w:rFonts w:ascii="黑体" w:hAnsi="黑体" w:eastAsia="黑体"/>
                <w:szCs w:val="21"/>
              </w:rPr>
            </w:pPr>
            <w:r>
              <w:rPr>
                <w:rFonts w:hint="eastAsia" w:ascii="黑体" w:hAnsi="黑体" w:eastAsia="黑体"/>
                <w:kern w:val="0"/>
                <w:szCs w:val="21"/>
              </w:rPr>
              <w:t>（一）予以公开</w:t>
            </w:r>
          </w:p>
        </w:tc>
        <w:tc>
          <w:tcPr>
            <w:tcW w:w="752" w:type="dxa"/>
            <w:tcMar>
              <w:left w:w="108" w:type="dxa"/>
              <w:right w:w="108" w:type="dxa"/>
            </w:tcMar>
            <w:vAlign w:val="center"/>
          </w:tcPr>
          <w:p w14:paraId="6ABD2123">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lang w:val="en-US" w:eastAsia="zh-CN"/>
              </w:rPr>
              <w:t>1</w:t>
            </w:r>
          </w:p>
        </w:tc>
        <w:tc>
          <w:tcPr>
            <w:tcW w:w="540" w:type="dxa"/>
            <w:tcMar>
              <w:left w:w="108" w:type="dxa"/>
              <w:right w:w="108" w:type="dxa"/>
            </w:tcMar>
            <w:vAlign w:val="center"/>
          </w:tcPr>
          <w:p w14:paraId="32EB54D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C1AE27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D09277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335A608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2C676806">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6CF3537B">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lang w:val="en-US" w:eastAsia="zh-CN"/>
              </w:rPr>
              <w:t>1</w:t>
            </w:r>
          </w:p>
        </w:tc>
      </w:tr>
      <w:tr w14:paraId="18012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649DD7E9">
            <w:pPr>
              <w:rPr>
                <w:rFonts w:ascii="黑体" w:hAnsi="黑体" w:eastAsia="黑体"/>
                <w:szCs w:val="21"/>
              </w:rPr>
            </w:pPr>
          </w:p>
        </w:tc>
        <w:tc>
          <w:tcPr>
            <w:tcW w:w="4672" w:type="dxa"/>
            <w:gridSpan w:val="2"/>
            <w:tcMar>
              <w:left w:w="108" w:type="dxa"/>
              <w:right w:w="108" w:type="dxa"/>
            </w:tcMar>
            <w:vAlign w:val="center"/>
          </w:tcPr>
          <w:p w14:paraId="48365E4A">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tcMar>
              <w:left w:w="108" w:type="dxa"/>
              <w:right w:w="108" w:type="dxa"/>
            </w:tcMar>
            <w:vAlign w:val="center"/>
          </w:tcPr>
          <w:p w14:paraId="579444A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E9A557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39F3F3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7E5EFF2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2AE3282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4FB2C4B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9A7F75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22E81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4FEB54FB">
            <w:pPr>
              <w:rPr>
                <w:rFonts w:ascii="黑体" w:hAnsi="黑体" w:eastAsia="黑体"/>
                <w:szCs w:val="21"/>
              </w:rPr>
            </w:pPr>
          </w:p>
        </w:tc>
        <w:tc>
          <w:tcPr>
            <w:tcW w:w="1699" w:type="dxa"/>
            <w:vMerge w:val="restart"/>
            <w:tcMar>
              <w:left w:w="108" w:type="dxa"/>
              <w:right w:w="108" w:type="dxa"/>
            </w:tcMar>
            <w:vAlign w:val="center"/>
          </w:tcPr>
          <w:p w14:paraId="5C9824AB">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3" w:type="dxa"/>
            <w:tcMar>
              <w:left w:w="108" w:type="dxa"/>
              <w:right w:w="108" w:type="dxa"/>
            </w:tcMar>
            <w:vAlign w:val="center"/>
          </w:tcPr>
          <w:p w14:paraId="14CF8A7D">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tcMar>
              <w:left w:w="108" w:type="dxa"/>
              <w:right w:w="108" w:type="dxa"/>
            </w:tcMar>
            <w:vAlign w:val="center"/>
          </w:tcPr>
          <w:p w14:paraId="7D77812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300A32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C15619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DE5A3E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5AC24A2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106D568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9B4A06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DA9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68E1A1E0">
            <w:pPr>
              <w:rPr>
                <w:rFonts w:ascii="黑体" w:hAnsi="黑体" w:eastAsia="黑体"/>
                <w:szCs w:val="21"/>
              </w:rPr>
            </w:pPr>
          </w:p>
        </w:tc>
        <w:tc>
          <w:tcPr>
            <w:tcW w:w="1699" w:type="dxa"/>
            <w:vMerge w:val="continue"/>
            <w:tcMar>
              <w:left w:w="108" w:type="dxa"/>
              <w:right w:w="108" w:type="dxa"/>
            </w:tcMar>
            <w:vAlign w:val="center"/>
          </w:tcPr>
          <w:p w14:paraId="1EC43AD2">
            <w:pPr>
              <w:spacing w:line="200" w:lineRule="exact"/>
              <w:rPr>
                <w:rFonts w:ascii="黑体" w:hAnsi="黑体" w:eastAsia="黑体"/>
                <w:szCs w:val="21"/>
              </w:rPr>
            </w:pPr>
          </w:p>
        </w:tc>
        <w:tc>
          <w:tcPr>
            <w:tcW w:w="2973" w:type="dxa"/>
            <w:tcMar>
              <w:left w:w="108" w:type="dxa"/>
              <w:right w:w="108" w:type="dxa"/>
            </w:tcMar>
            <w:vAlign w:val="center"/>
          </w:tcPr>
          <w:p w14:paraId="12F8A5D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tcMar>
              <w:left w:w="108" w:type="dxa"/>
              <w:right w:w="108" w:type="dxa"/>
            </w:tcMar>
            <w:vAlign w:val="center"/>
          </w:tcPr>
          <w:p w14:paraId="09989A0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CCF520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0B380D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304F75F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36B0A6F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43172DC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7D95DFF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0763A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08E966A0">
            <w:pPr>
              <w:rPr>
                <w:rFonts w:ascii="黑体" w:hAnsi="黑体" w:eastAsia="黑体"/>
                <w:szCs w:val="21"/>
              </w:rPr>
            </w:pPr>
          </w:p>
        </w:tc>
        <w:tc>
          <w:tcPr>
            <w:tcW w:w="1699" w:type="dxa"/>
            <w:vMerge w:val="continue"/>
            <w:tcMar>
              <w:left w:w="108" w:type="dxa"/>
              <w:right w:w="108" w:type="dxa"/>
            </w:tcMar>
            <w:vAlign w:val="center"/>
          </w:tcPr>
          <w:p w14:paraId="66586A08">
            <w:pPr>
              <w:spacing w:line="200" w:lineRule="exact"/>
              <w:rPr>
                <w:rFonts w:ascii="黑体" w:hAnsi="黑体" w:eastAsia="黑体"/>
                <w:szCs w:val="21"/>
              </w:rPr>
            </w:pPr>
          </w:p>
        </w:tc>
        <w:tc>
          <w:tcPr>
            <w:tcW w:w="2973" w:type="dxa"/>
            <w:tcMar>
              <w:left w:w="108" w:type="dxa"/>
              <w:right w:w="108" w:type="dxa"/>
            </w:tcMar>
            <w:vAlign w:val="center"/>
          </w:tcPr>
          <w:p w14:paraId="070DE70F">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tcMar>
              <w:left w:w="108" w:type="dxa"/>
              <w:right w:w="108" w:type="dxa"/>
            </w:tcMar>
            <w:vAlign w:val="center"/>
          </w:tcPr>
          <w:p w14:paraId="3D9160D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C1234F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6C8010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1BF7E0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4228F0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6130D4E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02DD7ED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1B32F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001ACA60">
            <w:pPr>
              <w:rPr>
                <w:rFonts w:ascii="黑体" w:hAnsi="黑体" w:eastAsia="黑体"/>
                <w:szCs w:val="21"/>
              </w:rPr>
            </w:pPr>
          </w:p>
        </w:tc>
        <w:tc>
          <w:tcPr>
            <w:tcW w:w="1699" w:type="dxa"/>
            <w:vMerge w:val="continue"/>
            <w:tcMar>
              <w:left w:w="108" w:type="dxa"/>
              <w:right w:w="108" w:type="dxa"/>
            </w:tcMar>
            <w:vAlign w:val="center"/>
          </w:tcPr>
          <w:p w14:paraId="39597A09">
            <w:pPr>
              <w:spacing w:line="200" w:lineRule="exact"/>
              <w:rPr>
                <w:rFonts w:ascii="黑体" w:hAnsi="黑体" w:eastAsia="黑体"/>
                <w:szCs w:val="21"/>
              </w:rPr>
            </w:pPr>
          </w:p>
        </w:tc>
        <w:tc>
          <w:tcPr>
            <w:tcW w:w="2973" w:type="dxa"/>
            <w:tcMar>
              <w:left w:w="108" w:type="dxa"/>
              <w:right w:w="108" w:type="dxa"/>
            </w:tcMar>
            <w:vAlign w:val="center"/>
          </w:tcPr>
          <w:p w14:paraId="21E6B651">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tcMar>
              <w:left w:w="108" w:type="dxa"/>
              <w:right w:w="108" w:type="dxa"/>
            </w:tcMar>
            <w:vAlign w:val="center"/>
          </w:tcPr>
          <w:p w14:paraId="034A25B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882607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024055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624DF2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02AC855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277D419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2E5833B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26BAE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456488E1">
            <w:pPr>
              <w:rPr>
                <w:rFonts w:ascii="黑体" w:hAnsi="黑体" w:eastAsia="黑体"/>
                <w:szCs w:val="21"/>
              </w:rPr>
            </w:pPr>
          </w:p>
        </w:tc>
        <w:tc>
          <w:tcPr>
            <w:tcW w:w="1699" w:type="dxa"/>
            <w:vMerge w:val="continue"/>
            <w:tcMar>
              <w:left w:w="108" w:type="dxa"/>
              <w:right w:w="108" w:type="dxa"/>
            </w:tcMar>
            <w:vAlign w:val="center"/>
          </w:tcPr>
          <w:p w14:paraId="3D4B0CC1">
            <w:pPr>
              <w:spacing w:line="200" w:lineRule="exact"/>
              <w:rPr>
                <w:rFonts w:ascii="黑体" w:hAnsi="黑体" w:eastAsia="黑体"/>
                <w:szCs w:val="21"/>
              </w:rPr>
            </w:pPr>
          </w:p>
        </w:tc>
        <w:tc>
          <w:tcPr>
            <w:tcW w:w="2973" w:type="dxa"/>
            <w:tcMar>
              <w:left w:w="108" w:type="dxa"/>
              <w:right w:w="108" w:type="dxa"/>
            </w:tcMar>
            <w:vAlign w:val="center"/>
          </w:tcPr>
          <w:p w14:paraId="658BE49B">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tcMar>
              <w:left w:w="108" w:type="dxa"/>
              <w:right w:w="108" w:type="dxa"/>
            </w:tcMar>
            <w:vAlign w:val="center"/>
          </w:tcPr>
          <w:p w14:paraId="0F95634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EE120A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1A4474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5A5B07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1BB83C3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2517093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F65DAB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780D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179E99B7">
            <w:pPr>
              <w:rPr>
                <w:rFonts w:ascii="黑体" w:hAnsi="黑体" w:eastAsia="黑体"/>
                <w:szCs w:val="21"/>
              </w:rPr>
            </w:pPr>
          </w:p>
        </w:tc>
        <w:tc>
          <w:tcPr>
            <w:tcW w:w="1699" w:type="dxa"/>
            <w:vMerge w:val="continue"/>
            <w:tcMar>
              <w:left w:w="108" w:type="dxa"/>
              <w:right w:w="108" w:type="dxa"/>
            </w:tcMar>
            <w:vAlign w:val="center"/>
          </w:tcPr>
          <w:p w14:paraId="42863452">
            <w:pPr>
              <w:spacing w:line="200" w:lineRule="exact"/>
              <w:rPr>
                <w:rFonts w:ascii="黑体" w:hAnsi="黑体" w:eastAsia="黑体"/>
                <w:szCs w:val="21"/>
              </w:rPr>
            </w:pPr>
          </w:p>
        </w:tc>
        <w:tc>
          <w:tcPr>
            <w:tcW w:w="2973" w:type="dxa"/>
            <w:tcMar>
              <w:left w:w="108" w:type="dxa"/>
              <w:right w:w="108" w:type="dxa"/>
            </w:tcMar>
            <w:vAlign w:val="center"/>
          </w:tcPr>
          <w:p w14:paraId="72D02F36">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tcMar>
              <w:left w:w="108" w:type="dxa"/>
              <w:right w:w="108" w:type="dxa"/>
            </w:tcMar>
            <w:vAlign w:val="center"/>
          </w:tcPr>
          <w:p w14:paraId="2A1A8CF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67FF74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31FB9F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39849D4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0AC873C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5B9EDA5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4F51047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09C0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3F79B66B">
            <w:pPr>
              <w:rPr>
                <w:rFonts w:ascii="黑体" w:hAnsi="黑体" w:eastAsia="黑体"/>
                <w:szCs w:val="21"/>
              </w:rPr>
            </w:pPr>
          </w:p>
        </w:tc>
        <w:tc>
          <w:tcPr>
            <w:tcW w:w="1699" w:type="dxa"/>
            <w:vMerge w:val="continue"/>
            <w:tcMar>
              <w:left w:w="108" w:type="dxa"/>
              <w:right w:w="108" w:type="dxa"/>
            </w:tcMar>
            <w:vAlign w:val="center"/>
          </w:tcPr>
          <w:p w14:paraId="028E6A49">
            <w:pPr>
              <w:spacing w:line="200" w:lineRule="exact"/>
              <w:rPr>
                <w:rFonts w:ascii="黑体" w:hAnsi="黑体" w:eastAsia="黑体"/>
                <w:szCs w:val="21"/>
              </w:rPr>
            </w:pPr>
          </w:p>
        </w:tc>
        <w:tc>
          <w:tcPr>
            <w:tcW w:w="2973" w:type="dxa"/>
            <w:tcMar>
              <w:left w:w="108" w:type="dxa"/>
              <w:right w:w="108" w:type="dxa"/>
            </w:tcMar>
            <w:vAlign w:val="center"/>
          </w:tcPr>
          <w:p w14:paraId="0BE93FAD">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tcMar>
              <w:left w:w="108" w:type="dxa"/>
              <w:right w:w="108" w:type="dxa"/>
            </w:tcMar>
            <w:vAlign w:val="center"/>
          </w:tcPr>
          <w:p w14:paraId="626A678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79AE4D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5CE5EB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2B3BCE36">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9529D2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7829E5B6">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62F73EA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237EF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1273C551">
            <w:pPr>
              <w:rPr>
                <w:rFonts w:ascii="黑体" w:hAnsi="黑体" w:eastAsia="黑体"/>
                <w:szCs w:val="21"/>
              </w:rPr>
            </w:pPr>
          </w:p>
        </w:tc>
        <w:tc>
          <w:tcPr>
            <w:tcW w:w="1699" w:type="dxa"/>
            <w:vMerge w:val="continue"/>
            <w:tcMar>
              <w:left w:w="108" w:type="dxa"/>
              <w:right w:w="108" w:type="dxa"/>
            </w:tcMar>
            <w:vAlign w:val="center"/>
          </w:tcPr>
          <w:p w14:paraId="3FB9B481">
            <w:pPr>
              <w:spacing w:line="200" w:lineRule="exact"/>
              <w:rPr>
                <w:rFonts w:ascii="黑体" w:hAnsi="黑体" w:eastAsia="黑体"/>
                <w:szCs w:val="21"/>
              </w:rPr>
            </w:pPr>
          </w:p>
        </w:tc>
        <w:tc>
          <w:tcPr>
            <w:tcW w:w="2973" w:type="dxa"/>
            <w:tcMar>
              <w:left w:w="108" w:type="dxa"/>
              <w:right w:w="108" w:type="dxa"/>
            </w:tcMar>
            <w:vAlign w:val="center"/>
          </w:tcPr>
          <w:p w14:paraId="18DDDE20">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tcMar>
              <w:left w:w="108" w:type="dxa"/>
              <w:right w:w="108" w:type="dxa"/>
            </w:tcMar>
            <w:vAlign w:val="center"/>
          </w:tcPr>
          <w:p w14:paraId="7196D29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855B5D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74FEE8A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F0A306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2AB0CA5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32AC375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CD2DA4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02D2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3DCE53F4">
            <w:pPr>
              <w:rPr>
                <w:rFonts w:ascii="黑体" w:hAnsi="黑体" w:eastAsia="黑体"/>
                <w:szCs w:val="21"/>
              </w:rPr>
            </w:pPr>
          </w:p>
        </w:tc>
        <w:tc>
          <w:tcPr>
            <w:tcW w:w="1699" w:type="dxa"/>
            <w:vMerge w:val="restart"/>
            <w:tcMar>
              <w:left w:w="108" w:type="dxa"/>
              <w:right w:w="108" w:type="dxa"/>
            </w:tcMar>
            <w:vAlign w:val="center"/>
          </w:tcPr>
          <w:p w14:paraId="06393BAE">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3" w:type="dxa"/>
            <w:tcMar>
              <w:left w:w="108" w:type="dxa"/>
              <w:right w:w="108" w:type="dxa"/>
            </w:tcMar>
            <w:vAlign w:val="center"/>
          </w:tcPr>
          <w:p w14:paraId="49CE0DBC">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tcMar>
              <w:left w:w="108" w:type="dxa"/>
              <w:right w:w="108" w:type="dxa"/>
            </w:tcMar>
            <w:vAlign w:val="center"/>
          </w:tcPr>
          <w:p w14:paraId="030CB3F4">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0</w:t>
            </w:r>
          </w:p>
        </w:tc>
        <w:tc>
          <w:tcPr>
            <w:tcW w:w="540" w:type="dxa"/>
            <w:tcMar>
              <w:left w:w="108" w:type="dxa"/>
              <w:right w:w="108" w:type="dxa"/>
            </w:tcMar>
            <w:vAlign w:val="center"/>
          </w:tcPr>
          <w:p w14:paraId="2F5FE49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2A83EB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BEC03B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59F6ED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774BC9E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56B6F811">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0</w:t>
            </w:r>
          </w:p>
        </w:tc>
      </w:tr>
      <w:tr w14:paraId="6DC8B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464F9E82">
            <w:pPr>
              <w:rPr>
                <w:rFonts w:ascii="黑体" w:hAnsi="黑体" w:eastAsia="黑体"/>
                <w:szCs w:val="21"/>
              </w:rPr>
            </w:pPr>
          </w:p>
        </w:tc>
        <w:tc>
          <w:tcPr>
            <w:tcW w:w="1699" w:type="dxa"/>
            <w:vMerge w:val="continue"/>
            <w:tcMar>
              <w:left w:w="108" w:type="dxa"/>
              <w:right w:w="108" w:type="dxa"/>
            </w:tcMar>
            <w:vAlign w:val="center"/>
          </w:tcPr>
          <w:p w14:paraId="42404E9F">
            <w:pPr>
              <w:spacing w:line="200" w:lineRule="exact"/>
              <w:ind w:left="-107" w:leftChars="-51"/>
              <w:rPr>
                <w:rFonts w:ascii="黑体" w:hAnsi="黑体" w:eastAsia="黑体"/>
                <w:szCs w:val="21"/>
              </w:rPr>
            </w:pPr>
          </w:p>
        </w:tc>
        <w:tc>
          <w:tcPr>
            <w:tcW w:w="2973" w:type="dxa"/>
            <w:tcMar>
              <w:left w:w="108" w:type="dxa"/>
              <w:right w:w="108" w:type="dxa"/>
            </w:tcMar>
            <w:vAlign w:val="center"/>
          </w:tcPr>
          <w:p w14:paraId="0096F08C">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tcMar>
              <w:left w:w="108" w:type="dxa"/>
              <w:right w:w="108" w:type="dxa"/>
            </w:tcMar>
            <w:vAlign w:val="center"/>
          </w:tcPr>
          <w:p w14:paraId="76ED10D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23F9836">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29AEB9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2C0AD7C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272C455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1BD429F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73782A1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4F4A6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36F1AE95">
            <w:pPr>
              <w:rPr>
                <w:rFonts w:ascii="黑体" w:hAnsi="黑体" w:eastAsia="黑体"/>
                <w:szCs w:val="21"/>
              </w:rPr>
            </w:pPr>
          </w:p>
        </w:tc>
        <w:tc>
          <w:tcPr>
            <w:tcW w:w="1699" w:type="dxa"/>
            <w:vMerge w:val="continue"/>
            <w:tcMar>
              <w:left w:w="108" w:type="dxa"/>
              <w:right w:w="108" w:type="dxa"/>
            </w:tcMar>
            <w:vAlign w:val="center"/>
          </w:tcPr>
          <w:p w14:paraId="65685112">
            <w:pPr>
              <w:spacing w:line="200" w:lineRule="exact"/>
              <w:ind w:left="-107" w:leftChars="-51"/>
              <w:rPr>
                <w:rFonts w:ascii="黑体" w:hAnsi="黑体" w:eastAsia="黑体"/>
                <w:szCs w:val="21"/>
              </w:rPr>
            </w:pPr>
          </w:p>
        </w:tc>
        <w:tc>
          <w:tcPr>
            <w:tcW w:w="2973" w:type="dxa"/>
            <w:tcMar>
              <w:left w:w="108" w:type="dxa"/>
              <w:right w:w="108" w:type="dxa"/>
            </w:tcMar>
            <w:vAlign w:val="center"/>
          </w:tcPr>
          <w:p w14:paraId="19273C49">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tcMar>
              <w:left w:w="108" w:type="dxa"/>
              <w:right w:w="108" w:type="dxa"/>
            </w:tcMar>
            <w:vAlign w:val="center"/>
          </w:tcPr>
          <w:p w14:paraId="13E4440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12B8123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623B55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7508986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AF0251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54183D0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D41EBA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2B829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76F23788">
            <w:pPr>
              <w:rPr>
                <w:rFonts w:ascii="黑体" w:hAnsi="黑体" w:eastAsia="黑体"/>
                <w:szCs w:val="21"/>
              </w:rPr>
            </w:pPr>
          </w:p>
        </w:tc>
        <w:tc>
          <w:tcPr>
            <w:tcW w:w="1699" w:type="dxa"/>
            <w:vMerge w:val="restart"/>
            <w:tcMar>
              <w:left w:w="108" w:type="dxa"/>
              <w:right w:w="108" w:type="dxa"/>
            </w:tcMar>
            <w:vAlign w:val="center"/>
          </w:tcPr>
          <w:p w14:paraId="59A98099">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3" w:type="dxa"/>
            <w:tcMar>
              <w:left w:w="108" w:type="dxa"/>
              <w:right w:w="108" w:type="dxa"/>
            </w:tcMar>
            <w:vAlign w:val="center"/>
          </w:tcPr>
          <w:p w14:paraId="4E0D20F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tcMar>
              <w:left w:w="108" w:type="dxa"/>
              <w:right w:w="108" w:type="dxa"/>
            </w:tcMar>
            <w:vAlign w:val="center"/>
          </w:tcPr>
          <w:p w14:paraId="18097AB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3A1612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39A9B6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3EB088E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0FE56D9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0096EB1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87B206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51906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258D3279">
            <w:pPr>
              <w:rPr>
                <w:rFonts w:ascii="黑体" w:hAnsi="黑体" w:eastAsia="黑体"/>
                <w:szCs w:val="21"/>
              </w:rPr>
            </w:pPr>
          </w:p>
        </w:tc>
        <w:tc>
          <w:tcPr>
            <w:tcW w:w="1699" w:type="dxa"/>
            <w:vMerge w:val="continue"/>
            <w:tcMar>
              <w:left w:w="108" w:type="dxa"/>
              <w:right w:w="108" w:type="dxa"/>
            </w:tcMar>
            <w:vAlign w:val="center"/>
          </w:tcPr>
          <w:p w14:paraId="655EB863">
            <w:pPr>
              <w:spacing w:line="200" w:lineRule="exact"/>
              <w:rPr>
                <w:rFonts w:ascii="黑体" w:hAnsi="黑体" w:eastAsia="黑体"/>
                <w:szCs w:val="21"/>
              </w:rPr>
            </w:pPr>
          </w:p>
        </w:tc>
        <w:tc>
          <w:tcPr>
            <w:tcW w:w="2973" w:type="dxa"/>
            <w:tcMar>
              <w:left w:w="108" w:type="dxa"/>
              <w:right w:w="108" w:type="dxa"/>
            </w:tcMar>
            <w:vAlign w:val="center"/>
          </w:tcPr>
          <w:p w14:paraId="63C22C33">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tcMar>
              <w:left w:w="108" w:type="dxa"/>
              <w:right w:w="108" w:type="dxa"/>
            </w:tcMar>
            <w:vAlign w:val="center"/>
          </w:tcPr>
          <w:p w14:paraId="7F8430C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3CA5A2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CF44AC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DCFBAB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260FD0D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2940A5E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5CF286F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60694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4D26EFCA">
            <w:pPr>
              <w:rPr>
                <w:rFonts w:ascii="黑体" w:hAnsi="黑体" w:eastAsia="黑体"/>
                <w:szCs w:val="21"/>
              </w:rPr>
            </w:pPr>
          </w:p>
        </w:tc>
        <w:tc>
          <w:tcPr>
            <w:tcW w:w="1699" w:type="dxa"/>
            <w:vMerge w:val="continue"/>
            <w:tcMar>
              <w:left w:w="108" w:type="dxa"/>
              <w:right w:w="108" w:type="dxa"/>
            </w:tcMar>
            <w:vAlign w:val="center"/>
          </w:tcPr>
          <w:p w14:paraId="1A9EBF06">
            <w:pPr>
              <w:spacing w:line="200" w:lineRule="exact"/>
              <w:rPr>
                <w:rFonts w:ascii="黑体" w:hAnsi="黑体" w:eastAsia="黑体"/>
                <w:szCs w:val="21"/>
              </w:rPr>
            </w:pPr>
          </w:p>
        </w:tc>
        <w:tc>
          <w:tcPr>
            <w:tcW w:w="2973" w:type="dxa"/>
            <w:tcMar>
              <w:left w:w="108" w:type="dxa"/>
              <w:right w:w="108" w:type="dxa"/>
            </w:tcMar>
            <w:vAlign w:val="center"/>
          </w:tcPr>
          <w:p w14:paraId="68D8DD7C">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tcMar>
              <w:left w:w="108" w:type="dxa"/>
              <w:right w:w="108" w:type="dxa"/>
            </w:tcMar>
            <w:vAlign w:val="center"/>
          </w:tcPr>
          <w:p w14:paraId="29C4536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164A3DF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FA2BEF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51E20EC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11F2EE8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754D9E8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8CCC5E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596FF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tcMar>
              <w:left w:w="108" w:type="dxa"/>
              <w:right w:w="108" w:type="dxa"/>
            </w:tcMar>
            <w:vAlign w:val="center"/>
          </w:tcPr>
          <w:p w14:paraId="012ACC3F">
            <w:pPr>
              <w:rPr>
                <w:rFonts w:ascii="黑体" w:hAnsi="黑体" w:eastAsia="黑体"/>
                <w:szCs w:val="21"/>
              </w:rPr>
            </w:pPr>
          </w:p>
        </w:tc>
        <w:tc>
          <w:tcPr>
            <w:tcW w:w="1699" w:type="dxa"/>
            <w:vMerge w:val="continue"/>
            <w:tcMar>
              <w:left w:w="108" w:type="dxa"/>
              <w:right w:w="108" w:type="dxa"/>
            </w:tcMar>
            <w:vAlign w:val="center"/>
          </w:tcPr>
          <w:p w14:paraId="68204597">
            <w:pPr>
              <w:spacing w:line="200" w:lineRule="exact"/>
              <w:rPr>
                <w:rFonts w:ascii="黑体" w:hAnsi="黑体" w:eastAsia="黑体"/>
                <w:szCs w:val="21"/>
              </w:rPr>
            </w:pPr>
          </w:p>
        </w:tc>
        <w:tc>
          <w:tcPr>
            <w:tcW w:w="2973" w:type="dxa"/>
            <w:tcMar>
              <w:left w:w="108" w:type="dxa"/>
              <w:right w:w="108" w:type="dxa"/>
            </w:tcMar>
            <w:vAlign w:val="center"/>
          </w:tcPr>
          <w:p w14:paraId="1C059BC9">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tcMar>
              <w:left w:w="108" w:type="dxa"/>
              <w:right w:w="108" w:type="dxa"/>
            </w:tcMar>
            <w:vAlign w:val="center"/>
          </w:tcPr>
          <w:p w14:paraId="6146981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DF6774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15308CB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4666607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DCA616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07ABC32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C26BC0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A38B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76145E7D">
            <w:pPr>
              <w:rPr>
                <w:rFonts w:ascii="黑体" w:hAnsi="黑体" w:eastAsia="黑体"/>
                <w:szCs w:val="21"/>
              </w:rPr>
            </w:pPr>
          </w:p>
        </w:tc>
        <w:tc>
          <w:tcPr>
            <w:tcW w:w="1699" w:type="dxa"/>
            <w:vMerge w:val="continue"/>
            <w:tcMar>
              <w:left w:w="108" w:type="dxa"/>
              <w:right w:w="108" w:type="dxa"/>
            </w:tcMar>
            <w:vAlign w:val="center"/>
          </w:tcPr>
          <w:p w14:paraId="60343B7E">
            <w:pPr>
              <w:spacing w:line="200" w:lineRule="exact"/>
              <w:rPr>
                <w:rFonts w:ascii="黑体" w:hAnsi="黑体" w:eastAsia="黑体"/>
                <w:szCs w:val="21"/>
              </w:rPr>
            </w:pPr>
          </w:p>
        </w:tc>
        <w:tc>
          <w:tcPr>
            <w:tcW w:w="2973" w:type="dxa"/>
            <w:tcMar>
              <w:left w:w="108" w:type="dxa"/>
              <w:right w:w="108" w:type="dxa"/>
            </w:tcMar>
            <w:vAlign w:val="center"/>
          </w:tcPr>
          <w:p w14:paraId="216C2483">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57C83605">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tcMar>
              <w:left w:w="108" w:type="dxa"/>
              <w:right w:w="108" w:type="dxa"/>
            </w:tcMar>
            <w:vAlign w:val="center"/>
          </w:tcPr>
          <w:p w14:paraId="6F6A01A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0117AA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59228C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3932410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DBA45B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466F1C9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0C9009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0FC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795063AE">
            <w:pPr>
              <w:rPr>
                <w:rFonts w:ascii="黑体" w:hAnsi="黑体" w:eastAsia="黑体"/>
                <w:szCs w:val="21"/>
              </w:rPr>
            </w:pPr>
          </w:p>
        </w:tc>
        <w:tc>
          <w:tcPr>
            <w:tcW w:w="1699" w:type="dxa"/>
            <w:vMerge w:val="restart"/>
            <w:tcMar>
              <w:left w:w="108" w:type="dxa"/>
              <w:right w:w="108" w:type="dxa"/>
            </w:tcMar>
            <w:vAlign w:val="center"/>
          </w:tcPr>
          <w:p w14:paraId="318128BE">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vAlign w:val="center"/>
          </w:tcPr>
          <w:p w14:paraId="16A24EFD">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tcMar>
              <w:left w:w="108" w:type="dxa"/>
              <w:right w:w="108" w:type="dxa"/>
            </w:tcMar>
            <w:vAlign w:val="center"/>
          </w:tcPr>
          <w:p w14:paraId="01EBE77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2FE60A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7D04ACB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43561FB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D1C09D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5547AFE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B23CA6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1002F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1D92AFB2">
            <w:pPr>
              <w:rPr>
                <w:rFonts w:ascii="黑体" w:hAnsi="黑体" w:eastAsia="黑体"/>
                <w:szCs w:val="21"/>
              </w:rPr>
            </w:pPr>
          </w:p>
        </w:tc>
        <w:tc>
          <w:tcPr>
            <w:tcW w:w="1699" w:type="dxa"/>
            <w:vMerge w:val="continue"/>
            <w:tcMar>
              <w:left w:w="108" w:type="dxa"/>
              <w:right w:w="108" w:type="dxa"/>
            </w:tcMar>
            <w:vAlign w:val="center"/>
          </w:tcPr>
          <w:p w14:paraId="7B809D21">
            <w:pPr>
              <w:widowControl/>
              <w:spacing w:line="300" w:lineRule="exact"/>
              <w:rPr>
                <w:rFonts w:ascii="黑体" w:hAnsi="黑体" w:eastAsia="黑体"/>
                <w:kern w:val="0"/>
                <w:szCs w:val="21"/>
              </w:rPr>
            </w:pPr>
          </w:p>
        </w:tc>
        <w:tc>
          <w:tcPr>
            <w:tcW w:w="2973" w:type="dxa"/>
            <w:vAlign w:val="center"/>
          </w:tcPr>
          <w:p w14:paraId="38C545BC">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tcMar>
              <w:left w:w="108" w:type="dxa"/>
              <w:right w:w="108" w:type="dxa"/>
            </w:tcMar>
            <w:vAlign w:val="center"/>
          </w:tcPr>
          <w:p w14:paraId="6289DBA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93A157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2171A4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E5BA6A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3EEA701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3413EF8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DACEA0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5AE72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7B8AFB2B">
            <w:pPr>
              <w:rPr>
                <w:rFonts w:ascii="黑体" w:hAnsi="黑体" w:eastAsia="黑体"/>
                <w:szCs w:val="21"/>
              </w:rPr>
            </w:pPr>
          </w:p>
        </w:tc>
        <w:tc>
          <w:tcPr>
            <w:tcW w:w="1699" w:type="dxa"/>
            <w:vMerge w:val="continue"/>
            <w:tcMar>
              <w:left w:w="108" w:type="dxa"/>
              <w:right w:w="108" w:type="dxa"/>
            </w:tcMar>
            <w:vAlign w:val="center"/>
          </w:tcPr>
          <w:p w14:paraId="2E83C094">
            <w:pPr>
              <w:widowControl/>
              <w:spacing w:line="300" w:lineRule="exact"/>
              <w:rPr>
                <w:rFonts w:ascii="黑体" w:hAnsi="黑体" w:eastAsia="黑体"/>
                <w:kern w:val="0"/>
                <w:szCs w:val="21"/>
              </w:rPr>
            </w:pPr>
          </w:p>
        </w:tc>
        <w:tc>
          <w:tcPr>
            <w:tcW w:w="2973" w:type="dxa"/>
            <w:vAlign w:val="center"/>
          </w:tcPr>
          <w:p w14:paraId="4A3CF25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tcMar>
              <w:left w:w="108" w:type="dxa"/>
              <w:right w:w="108" w:type="dxa"/>
            </w:tcMar>
            <w:vAlign w:val="center"/>
          </w:tcPr>
          <w:p w14:paraId="6152284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E3A8A6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38F5E2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261A786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0AF5565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445C132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77B4F63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1EAD6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6176F22A">
            <w:pPr>
              <w:rPr>
                <w:rFonts w:ascii="黑体" w:hAnsi="黑体" w:eastAsia="黑体"/>
                <w:szCs w:val="21"/>
              </w:rPr>
            </w:pPr>
          </w:p>
        </w:tc>
        <w:tc>
          <w:tcPr>
            <w:tcW w:w="4672" w:type="dxa"/>
            <w:gridSpan w:val="2"/>
            <w:tcMar>
              <w:left w:w="108" w:type="dxa"/>
              <w:right w:w="108" w:type="dxa"/>
            </w:tcMar>
            <w:vAlign w:val="center"/>
          </w:tcPr>
          <w:p w14:paraId="2D4B57A4">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tcMar>
              <w:left w:w="108" w:type="dxa"/>
              <w:right w:w="108" w:type="dxa"/>
            </w:tcMar>
            <w:vAlign w:val="center"/>
          </w:tcPr>
          <w:p w14:paraId="427A2F8D">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1</w:t>
            </w:r>
          </w:p>
        </w:tc>
        <w:tc>
          <w:tcPr>
            <w:tcW w:w="540" w:type="dxa"/>
            <w:tcMar>
              <w:left w:w="108" w:type="dxa"/>
              <w:right w:w="108" w:type="dxa"/>
            </w:tcMar>
            <w:vAlign w:val="center"/>
          </w:tcPr>
          <w:p w14:paraId="41B83FE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C1D006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772A8C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33D45A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5AA4AD0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43DC0803">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1</w:t>
            </w:r>
          </w:p>
        </w:tc>
      </w:tr>
      <w:tr w14:paraId="69857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tcMar>
              <w:left w:w="108" w:type="dxa"/>
              <w:right w:w="108" w:type="dxa"/>
            </w:tcMar>
            <w:vAlign w:val="center"/>
          </w:tcPr>
          <w:p w14:paraId="76E066CC">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tcMar>
              <w:left w:w="108" w:type="dxa"/>
              <w:right w:w="108" w:type="dxa"/>
            </w:tcMar>
            <w:vAlign w:val="center"/>
          </w:tcPr>
          <w:p w14:paraId="6CCC96B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0E914C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CB5D30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2CF490E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D976B2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773659E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4F77D4C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bl>
    <w:p w14:paraId="239642C7">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政府信息公开行政复议、行政诉讼情况</w:t>
      </w:r>
    </w:p>
    <w:tbl>
      <w:tblPr>
        <w:tblStyle w:val="4"/>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393C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jc w:val="center"/>
        </w:trPr>
        <w:tc>
          <w:tcPr>
            <w:tcW w:w="3074" w:type="dxa"/>
            <w:gridSpan w:val="5"/>
            <w:tcMar>
              <w:left w:w="108" w:type="dxa"/>
              <w:right w:w="108" w:type="dxa"/>
            </w:tcMar>
            <w:vAlign w:val="center"/>
          </w:tcPr>
          <w:p w14:paraId="421A61DE">
            <w:pPr>
              <w:widowControl/>
              <w:jc w:val="center"/>
              <w:rPr>
                <w:rFonts w:ascii="黑体" w:hAnsi="黑体" w:eastAsia="黑体"/>
              </w:rPr>
            </w:pPr>
            <w:r>
              <w:rPr>
                <w:rFonts w:ascii="黑体" w:hAnsi="黑体" w:eastAsia="黑体"/>
                <w:kern w:val="0"/>
                <w:sz w:val="20"/>
              </w:rPr>
              <w:t>行政复议</w:t>
            </w:r>
          </w:p>
        </w:tc>
        <w:tc>
          <w:tcPr>
            <w:tcW w:w="5997" w:type="dxa"/>
            <w:gridSpan w:val="10"/>
            <w:tcMar>
              <w:left w:w="108" w:type="dxa"/>
              <w:right w:w="108" w:type="dxa"/>
            </w:tcMar>
            <w:vAlign w:val="center"/>
          </w:tcPr>
          <w:p w14:paraId="0A141E5F">
            <w:pPr>
              <w:widowControl/>
              <w:jc w:val="center"/>
              <w:rPr>
                <w:rFonts w:ascii="黑体" w:hAnsi="黑体" w:eastAsia="黑体"/>
              </w:rPr>
            </w:pPr>
            <w:r>
              <w:rPr>
                <w:rFonts w:ascii="黑体" w:hAnsi="黑体" w:eastAsia="黑体"/>
                <w:kern w:val="0"/>
                <w:sz w:val="20"/>
              </w:rPr>
              <w:t>行政诉讼</w:t>
            </w:r>
          </w:p>
        </w:tc>
      </w:tr>
      <w:tr w14:paraId="60730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jc w:val="center"/>
        </w:trPr>
        <w:tc>
          <w:tcPr>
            <w:tcW w:w="604" w:type="dxa"/>
            <w:vMerge w:val="restart"/>
            <w:tcMar>
              <w:left w:w="108" w:type="dxa"/>
              <w:right w:w="108" w:type="dxa"/>
            </w:tcMar>
            <w:vAlign w:val="center"/>
          </w:tcPr>
          <w:p w14:paraId="7F8ABCA5">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12B59196">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Mar>
              <w:left w:w="108" w:type="dxa"/>
              <w:right w:w="108" w:type="dxa"/>
            </w:tcMar>
            <w:vAlign w:val="center"/>
          </w:tcPr>
          <w:p w14:paraId="54029D46">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Mar>
              <w:left w:w="108" w:type="dxa"/>
              <w:right w:w="108" w:type="dxa"/>
            </w:tcMar>
            <w:vAlign w:val="center"/>
          </w:tcPr>
          <w:p w14:paraId="2B372545">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Mar>
              <w:left w:w="108" w:type="dxa"/>
              <w:right w:w="108" w:type="dxa"/>
            </w:tcMar>
            <w:vAlign w:val="center"/>
          </w:tcPr>
          <w:p w14:paraId="39B0ED14">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33392F23">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Mar>
              <w:left w:w="108" w:type="dxa"/>
              <w:right w:w="108" w:type="dxa"/>
            </w:tcMar>
            <w:vAlign w:val="center"/>
          </w:tcPr>
          <w:p w14:paraId="75685B6E">
            <w:pPr>
              <w:widowControl/>
              <w:spacing w:line="320" w:lineRule="exact"/>
              <w:jc w:val="center"/>
              <w:rPr>
                <w:rFonts w:ascii="黑体" w:hAnsi="黑体" w:eastAsia="黑体"/>
                <w:kern w:val="0"/>
                <w:sz w:val="20"/>
              </w:rPr>
            </w:pPr>
            <w:r>
              <w:rPr>
                <w:rFonts w:ascii="黑体" w:hAnsi="黑体" w:eastAsia="黑体"/>
                <w:kern w:val="0"/>
                <w:sz w:val="20"/>
              </w:rPr>
              <w:t>总</w:t>
            </w:r>
          </w:p>
          <w:p w14:paraId="6FD5EFA8">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Mar>
              <w:left w:w="108" w:type="dxa"/>
              <w:right w:w="108" w:type="dxa"/>
            </w:tcMar>
            <w:vAlign w:val="center"/>
          </w:tcPr>
          <w:p w14:paraId="21188645">
            <w:pPr>
              <w:widowControl/>
              <w:jc w:val="center"/>
              <w:rPr>
                <w:rFonts w:ascii="黑体" w:hAnsi="黑体" w:eastAsia="黑体"/>
              </w:rPr>
            </w:pPr>
            <w:r>
              <w:rPr>
                <w:rFonts w:ascii="黑体" w:hAnsi="黑体" w:eastAsia="黑体"/>
                <w:kern w:val="0"/>
                <w:sz w:val="20"/>
              </w:rPr>
              <w:t>未经复议直接起诉</w:t>
            </w:r>
          </w:p>
        </w:tc>
        <w:tc>
          <w:tcPr>
            <w:tcW w:w="3027" w:type="dxa"/>
            <w:gridSpan w:val="5"/>
            <w:tcMar>
              <w:left w:w="108" w:type="dxa"/>
              <w:right w:w="108" w:type="dxa"/>
            </w:tcMar>
            <w:vAlign w:val="center"/>
          </w:tcPr>
          <w:p w14:paraId="5B6DC30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63E43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6" w:hRule="atLeast"/>
          <w:jc w:val="center"/>
        </w:trPr>
        <w:tc>
          <w:tcPr>
            <w:tcW w:w="604" w:type="dxa"/>
            <w:vMerge w:val="continue"/>
            <w:tcMar>
              <w:left w:w="108" w:type="dxa"/>
              <w:right w:w="108" w:type="dxa"/>
            </w:tcMar>
            <w:vAlign w:val="center"/>
          </w:tcPr>
          <w:p w14:paraId="5DB530BB">
            <w:pPr>
              <w:rPr>
                <w:rFonts w:ascii="黑体" w:hAnsi="黑体" w:eastAsia="黑体"/>
                <w:sz w:val="24"/>
              </w:rPr>
            </w:pPr>
          </w:p>
        </w:tc>
        <w:tc>
          <w:tcPr>
            <w:tcW w:w="604" w:type="dxa"/>
            <w:vMerge w:val="continue"/>
            <w:tcMar>
              <w:left w:w="108" w:type="dxa"/>
              <w:right w:w="108" w:type="dxa"/>
            </w:tcMar>
            <w:vAlign w:val="center"/>
          </w:tcPr>
          <w:p w14:paraId="0FEA8BDD">
            <w:pPr>
              <w:rPr>
                <w:rFonts w:ascii="黑体" w:hAnsi="黑体" w:eastAsia="黑体"/>
                <w:sz w:val="24"/>
              </w:rPr>
            </w:pPr>
          </w:p>
        </w:tc>
        <w:tc>
          <w:tcPr>
            <w:tcW w:w="604" w:type="dxa"/>
            <w:vMerge w:val="continue"/>
            <w:tcMar>
              <w:left w:w="108" w:type="dxa"/>
              <w:right w:w="108" w:type="dxa"/>
            </w:tcMar>
            <w:vAlign w:val="center"/>
          </w:tcPr>
          <w:p w14:paraId="50395E7A">
            <w:pPr>
              <w:rPr>
                <w:rFonts w:ascii="黑体" w:hAnsi="黑体" w:eastAsia="黑体"/>
                <w:sz w:val="24"/>
              </w:rPr>
            </w:pPr>
          </w:p>
        </w:tc>
        <w:tc>
          <w:tcPr>
            <w:tcW w:w="604" w:type="dxa"/>
            <w:vMerge w:val="continue"/>
            <w:tcMar>
              <w:left w:w="108" w:type="dxa"/>
              <w:right w:w="108" w:type="dxa"/>
            </w:tcMar>
            <w:vAlign w:val="center"/>
          </w:tcPr>
          <w:p w14:paraId="5EFBBEB3">
            <w:pPr>
              <w:rPr>
                <w:rFonts w:ascii="黑体" w:hAnsi="黑体" w:eastAsia="黑体"/>
                <w:sz w:val="24"/>
              </w:rPr>
            </w:pPr>
          </w:p>
        </w:tc>
        <w:tc>
          <w:tcPr>
            <w:tcW w:w="658" w:type="dxa"/>
            <w:vMerge w:val="continue"/>
            <w:tcMar>
              <w:left w:w="108" w:type="dxa"/>
              <w:right w:w="108" w:type="dxa"/>
            </w:tcMar>
            <w:vAlign w:val="center"/>
          </w:tcPr>
          <w:p w14:paraId="1E33128B">
            <w:pPr>
              <w:rPr>
                <w:rFonts w:ascii="黑体" w:hAnsi="黑体" w:eastAsia="黑体"/>
                <w:sz w:val="24"/>
              </w:rPr>
            </w:pPr>
          </w:p>
        </w:tc>
        <w:tc>
          <w:tcPr>
            <w:tcW w:w="550" w:type="dxa"/>
            <w:tcMar>
              <w:left w:w="108" w:type="dxa"/>
              <w:right w:w="108" w:type="dxa"/>
            </w:tcMar>
            <w:vAlign w:val="center"/>
          </w:tcPr>
          <w:p w14:paraId="2120BB0D">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Mar>
              <w:left w:w="108" w:type="dxa"/>
              <w:right w:w="108" w:type="dxa"/>
            </w:tcMar>
            <w:vAlign w:val="center"/>
          </w:tcPr>
          <w:p w14:paraId="7B1A53DA">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Mar>
              <w:left w:w="108" w:type="dxa"/>
              <w:right w:w="108" w:type="dxa"/>
            </w:tcMar>
            <w:vAlign w:val="center"/>
          </w:tcPr>
          <w:p w14:paraId="0998EBE7">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7D851475">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Mar>
              <w:left w:w="108" w:type="dxa"/>
              <w:right w:w="108" w:type="dxa"/>
            </w:tcMar>
            <w:vAlign w:val="center"/>
          </w:tcPr>
          <w:p w14:paraId="04EE10C9">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67AFC45C">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Mar>
              <w:left w:w="108" w:type="dxa"/>
              <w:right w:w="108" w:type="dxa"/>
            </w:tcMar>
            <w:vAlign w:val="center"/>
          </w:tcPr>
          <w:p w14:paraId="24D68D03">
            <w:pPr>
              <w:widowControl/>
              <w:jc w:val="center"/>
              <w:rPr>
                <w:rFonts w:ascii="黑体" w:hAnsi="黑体" w:eastAsia="黑体"/>
              </w:rPr>
            </w:pPr>
            <w:r>
              <w:rPr>
                <w:rFonts w:ascii="黑体" w:hAnsi="黑体" w:eastAsia="黑体"/>
                <w:kern w:val="0"/>
                <w:sz w:val="20"/>
              </w:rPr>
              <w:t>总计</w:t>
            </w:r>
          </w:p>
        </w:tc>
        <w:tc>
          <w:tcPr>
            <w:tcW w:w="605" w:type="dxa"/>
            <w:tcMar>
              <w:left w:w="108" w:type="dxa"/>
              <w:right w:w="108" w:type="dxa"/>
            </w:tcMar>
            <w:vAlign w:val="center"/>
          </w:tcPr>
          <w:p w14:paraId="7EED02D1">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Mar>
              <w:left w:w="108" w:type="dxa"/>
              <w:right w:w="108" w:type="dxa"/>
            </w:tcMar>
            <w:vAlign w:val="center"/>
          </w:tcPr>
          <w:p w14:paraId="64D6702B">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304A5778">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Mar>
              <w:left w:w="108" w:type="dxa"/>
              <w:right w:w="108" w:type="dxa"/>
            </w:tcMar>
            <w:vAlign w:val="center"/>
          </w:tcPr>
          <w:p w14:paraId="13E8D1FF">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3AFD381B">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Mar>
              <w:left w:w="108" w:type="dxa"/>
              <w:right w:w="108" w:type="dxa"/>
            </w:tcMar>
            <w:vAlign w:val="center"/>
          </w:tcPr>
          <w:p w14:paraId="3D165023">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Mar>
              <w:left w:w="108" w:type="dxa"/>
              <w:right w:w="108" w:type="dxa"/>
            </w:tcMar>
            <w:vAlign w:val="center"/>
          </w:tcPr>
          <w:p w14:paraId="79C2C55C">
            <w:pPr>
              <w:widowControl/>
              <w:jc w:val="center"/>
              <w:rPr>
                <w:rFonts w:ascii="黑体" w:hAnsi="黑体" w:eastAsia="黑体"/>
              </w:rPr>
            </w:pPr>
            <w:r>
              <w:rPr>
                <w:rFonts w:ascii="黑体" w:hAnsi="黑体" w:eastAsia="黑体"/>
                <w:kern w:val="0"/>
                <w:sz w:val="20"/>
              </w:rPr>
              <w:t>总计</w:t>
            </w:r>
          </w:p>
        </w:tc>
      </w:tr>
      <w:tr w14:paraId="0F8AD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04" w:type="dxa"/>
            <w:tcMar>
              <w:left w:w="108" w:type="dxa"/>
              <w:right w:w="108" w:type="dxa"/>
            </w:tcMar>
            <w:vAlign w:val="center"/>
          </w:tcPr>
          <w:p w14:paraId="0D43C96B">
            <w:pPr>
              <w:widowControl/>
              <w:spacing w:after="180"/>
              <w:jc w:val="center"/>
            </w:pPr>
            <w:r>
              <w:rPr>
                <w:rFonts w:hint="eastAsia"/>
              </w:rPr>
              <w:t>0</w:t>
            </w:r>
          </w:p>
        </w:tc>
        <w:tc>
          <w:tcPr>
            <w:tcW w:w="604" w:type="dxa"/>
            <w:tcMar>
              <w:left w:w="108" w:type="dxa"/>
              <w:right w:w="108" w:type="dxa"/>
            </w:tcMar>
            <w:vAlign w:val="center"/>
          </w:tcPr>
          <w:p w14:paraId="3267E36A">
            <w:pPr>
              <w:widowControl/>
              <w:spacing w:after="180"/>
              <w:jc w:val="center"/>
            </w:pPr>
            <w:r>
              <w:rPr>
                <w:rFonts w:hint="eastAsia"/>
              </w:rPr>
              <w:t>0</w:t>
            </w:r>
          </w:p>
        </w:tc>
        <w:tc>
          <w:tcPr>
            <w:tcW w:w="604" w:type="dxa"/>
            <w:tcMar>
              <w:left w:w="108" w:type="dxa"/>
              <w:right w:w="108" w:type="dxa"/>
            </w:tcMar>
            <w:vAlign w:val="center"/>
          </w:tcPr>
          <w:p w14:paraId="3936CCC4">
            <w:pPr>
              <w:widowControl/>
              <w:spacing w:after="180"/>
              <w:jc w:val="center"/>
            </w:pPr>
            <w:r>
              <w:rPr>
                <w:rFonts w:hint="eastAsia"/>
              </w:rPr>
              <w:t>0</w:t>
            </w:r>
          </w:p>
        </w:tc>
        <w:tc>
          <w:tcPr>
            <w:tcW w:w="604" w:type="dxa"/>
            <w:tcMar>
              <w:left w:w="108" w:type="dxa"/>
              <w:right w:w="108" w:type="dxa"/>
            </w:tcMar>
            <w:vAlign w:val="center"/>
          </w:tcPr>
          <w:p w14:paraId="3FCC5AC8">
            <w:pPr>
              <w:widowControl/>
              <w:spacing w:after="180"/>
              <w:jc w:val="center"/>
            </w:pPr>
            <w:r>
              <w:rPr>
                <w:rFonts w:hint="eastAsia"/>
              </w:rPr>
              <w:t>0</w:t>
            </w:r>
          </w:p>
        </w:tc>
        <w:tc>
          <w:tcPr>
            <w:tcW w:w="658" w:type="dxa"/>
            <w:tcMar>
              <w:left w:w="108" w:type="dxa"/>
              <w:right w:w="108" w:type="dxa"/>
            </w:tcMar>
            <w:vAlign w:val="center"/>
          </w:tcPr>
          <w:p w14:paraId="16163C42">
            <w:pPr>
              <w:widowControl/>
              <w:spacing w:after="180"/>
              <w:jc w:val="center"/>
            </w:pPr>
            <w:r>
              <w:rPr>
                <w:rFonts w:hint="eastAsia"/>
              </w:rPr>
              <w:t>0</w:t>
            </w:r>
          </w:p>
        </w:tc>
        <w:tc>
          <w:tcPr>
            <w:tcW w:w="550" w:type="dxa"/>
            <w:tcMar>
              <w:left w:w="108" w:type="dxa"/>
              <w:right w:w="108" w:type="dxa"/>
            </w:tcMar>
            <w:vAlign w:val="center"/>
          </w:tcPr>
          <w:p w14:paraId="5AAECAD9">
            <w:pPr>
              <w:widowControl/>
              <w:spacing w:after="180"/>
              <w:jc w:val="center"/>
            </w:pPr>
            <w:r>
              <w:rPr>
                <w:rFonts w:hint="eastAsia"/>
              </w:rPr>
              <w:t>0</w:t>
            </w:r>
          </w:p>
        </w:tc>
        <w:tc>
          <w:tcPr>
            <w:tcW w:w="605" w:type="dxa"/>
            <w:tcMar>
              <w:left w:w="108" w:type="dxa"/>
              <w:right w:w="108" w:type="dxa"/>
            </w:tcMar>
            <w:vAlign w:val="center"/>
          </w:tcPr>
          <w:p w14:paraId="609CD649">
            <w:pPr>
              <w:widowControl/>
              <w:spacing w:after="180"/>
              <w:jc w:val="center"/>
            </w:pPr>
            <w:r>
              <w:rPr>
                <w:rFonts w:hint="eastAsia"/>
              </w:rPr>
              <w:t>0</w:t>
            </w:r>
          </w:p>
        </w:tc>
        <w:tc>
          <w:tcPr>
            <w:tcW w:w="605" w:type="dxa"/>
            <w:tcMar>
              <w:left w:w="108" w:type="dxa"/>
              <w:right w:w="108" w:type="dxa"/>
            </w:tcMar>
            <w:vAlign w:val="center"/>
          </w:tcPr>
          <w:p w14:paraId="7DD64A1B">
            <w:pPr>
              <w:widowControl/>
              <w:spacing w:after="180"/>
              <w:jc w:val="center"/>
            </w:pPr>
            <w:r>
              <w:rPr>
                <w:rFonts w:hint="eastAsia"/>
              </w:rPr>
              <w:t>0</w:t>
            </w:r>
          </w:p>
        </w:tc>
        <w:tc>
          <w:tcPr>
            <w:tcW w:w="605" w:type="dxa"/>
            <w:tcMar>
              <w:left w:w="108" w:type="dxa"/>
              <w:right w:w="108" w:type="dxa"/>
            </w:tcMar>
            <w:vAlign w:val="center"/>
          </w:tcPr>
          <w:p w14:paraId="2E558B55">
            <w:pPr>
              <w:widowControl/>
              <w:spacing w:after="180"/>
              <w:jc w:val="center"/>
            </w:pPr>
            <w:r>
              <w:rPr>
                <w:rFonts w:hint="eastAsia"/>
              </w:rPr>
              <w:t>0</w:t>
            </w:r>
          </w:p>
        </w:tc>
        <w:tc>
          <w:tcPr>
            <w:tcW w:w="605" w:type="dxa"/>
            <w:tcMar>
              <w:left w:w="108" w:type="dxa"/>
              <w:right w:w="108" w:type="dxa"/>
            </w:tcMar>
            <w:vAlign w:val="center"/>
          </w:tcPr>
          <w:p w14:paraId="25D31F0B">
            <w:pPr>
              <w:widowControl/>
              <w:spacing w:after="180"/>
              <w:jc w:val="center"/>
            </w:pPr>
            <w:r>
              <w:rPr>
                <w:rFonts w:hint="eastAsia"/>
              </w:rPr>
              <w:t>0</w:t>
            </w:r>
          </w:p>
        </w:tc>
        <w:tc>
          <w:tcPr>
            <w:tcW w:w="605" w:type="dxa"/>
            <w:tcMar>
              <w:left w:w="108" w:type="dxa"/>
              <w:right w:w="108" w:type="dxa"/>
            </w:tcMar>
            <w:vAlign w:val="center"/>
          </w:tcPr>
          <w:p w14:paraId="1AE36342">
            <w:pPr>
              <w:widowControl/>
              <w:spacing w:after="180"/>
            </w:pPr>
            <w:r>
              <w:rPr>
                <w:rFonts w:hint="eastAsia"/>
              </w:rPr>
              <w:t>0</w:t>
            </w:r>
          </w:p>
        </w:tc>
        <w:tc>
          <w:tcPr>
            <w:tcW w:w="605" w:type="dxa"/>
            <w:tcMar>
              <w:left w:w="108" w:type="dxa"/>
              <w:right w:w="108" w:type="dxa"/>
            </w:tcMar>
            <w:vAlign w:val="center"/>
          </w:tcPr>
          <w:p w14:paraId="7249319F">
            <w:pPr>
              <w:widowControl/>
              <w:spacing w:after="180"/>
              <w:jc w:val="center"/>
            </w:pPr>
            <w:r>
              <w:rPr>
                <w:rFonts w:hint="eastAsia"/>
              </w:rPr>
              <w:t>0</w:t>
            </w:r>
          </w:p>
        </w:tc>
        <w:tc>
          <w:tcPr>
            <w:tcW w:w="605" w:type="dxa"/>
            <w:tcMar>
              <w:left w:w="108" w:type="dxa"/>
              <w:right w:w="108" w:type="dxa"/>
            </w:tcMar>
            <w:vAlign w:val="center"/>
          </w:tcPr>
          <w:p w14:paraId="3FB8038B">
            <w:pPr>
              <w:widowControl/>
              <w:spacing w:after="180"/>
              <w:jc w:val="center"/>
            </w:pPr>
            <w:r>
              <w:rPr>
                <w:rFonts w:hint="eastAsia"/>
              </w:rPr>
              <w:t>0</w:t>
            </w:r>
          </w:p>
        </w:tc>
        <w:tc>
          <w:tcPr>
            <w:tcW w:w="606" w:type="dxa"/>
            <w:tcMar>
              <w:left w:w="108" w:type="dxa"/>
              <w:right w:w="108" w:type="dxa"/>
            </w:tcMar>
            <w:vAlign w:val="center"/>
          </w:tcPr>
          <w:p w14:paraId="44AA67EE">
            <w:pPr>
              <w:widowControl/>
              <w:spacing w:after="180"/>
              <w:jc w:val="center"/>
            </w:pPr>
            <w:r>
              <w:rPr>
                <w:rFonts w:hint="eastAsia"/>
              </w:rPr>
              <w:t>0</w:t>
            </w:r>
          </w:p>
        </w:tc>
        <w:tc>
          <w:tcPr>
            <w:tcW w:w="606" w:type="dxa"/>
            <w:tcMar>
              <w:left w:w="108" w:type="dxa"/>
              <w:right w:w="108" w:type="dxa"/>
            </w:tcMar>
            <w:vAlign w:val="center"/>
          </w:tcPr>
          <w:p w14:paraId="2FFFFF59">
            <w:pPr>
              <w:widowControl/>
              <w:spacing w:after="180"/>
              <w:jc w:val="center"/>
            </w:pPr>
            <w:r>
              <w:rPr>
                <w:rFonts w:hint="eastAsia"/>
              </w:rPr>
              <w:t>0</w:t>
            </w:r>
          </w:p>
        </w:tc>
      </w:tr>
    </w:tbl>
    <w:p w14:paraId="0EA9BDE6">
      <w:pPr>
        <w:widowControl/>
        <w:spacing w:line="56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五、存在的主要问题及改进情况</w:t>
      </w:r>
    </w:p>
    <w:p w14:paraId="78A4BC1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回顾2025年，</w:t>
      </w:r>
      <w:r>
        <w:rPr>
          <w:rFonts w:hint="eastAsia" w:ascii="仿宋_GB2312" w:hAnsi="仿宋_GB2312" w:eastAsia="仿宋_GB2312" w:cs="仿宋_GB2312"/>
          <w:sz w:val="32"/>
          <w:szCs w:val="32"/>
          <w:lang w:eastAsia="zh-CN"/>
        </w:rPr>
        <w:t>运河</w:t>
      </w:r>
      <w:r>
        <w:rPr>
          <w:rFonts w:hint="eastAsia" w:ascii="仿宋_GB2312" w:hAnsi="仿宋_GB2312" w:eastAsia="仿宋_GB2312" w:cs="仿宋_GB2312"/>
          <w:sz w:val="32"/>
          <w:szCs w:val="32"/>
        </w:rPr>
        <w:t>街道政务公开工作取得了一定进展，但对照更高标准和要求，仍存在政策解读形式</w:t>
      </w:r>
      <w:r>
        <w:rPr>
          <w:rFonts w:hint="eastAsia" w:ascii="仿宋_GB2312" w:hAnsi="仿宋_GB2312" w:eastAsia="仿宋_GB2312" w:cs="仿宋_GB2312"/>
          <w:sz w:val="32"/>
          <w:szCs w:val="32"/>
          <w:lang w:eastAsia="zh-CN"/>
        </w:rPr>
        <w:t>不够丰富</w:t>
      </w:r>
      <w:r>
        <w:rPr>
          <w:rFonts w:hint="eastAsia" w:ascii="仿宋_GB2312" w:hAnsi="仿宋_GB2312" w:eastAsia="仿宋_GB2312" w:cs="仿宋_GB2312"/>
          <w:sz w:val="32"/>
          <w:szCs w:val="32"/>
        </w:rPr>
        <w:t>、平台间融合深度</w:t>
      </w:r>
      <w:r>
        <w:rPr>
          <w:rFonts w:hint="eastAsia" w:ascii="仿宋_GB2312" w:hAnsi="仿宋_GB2312" w:eastAsia="仿宋_GB2312" w:cs="仿宋_GB2312"/>
          <w:sz w:val="32"/>
          <w:szCs w:val="32"/>
          <w:lang w:eastAsia="zh-CN"/>
        </w:rPr>
        <w:t>不足</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下一步，街道将继续坚持以问题为导向，以需求为牵引，持续改进政府公开工作。一是不断深化重点领域公开，持续优化和丰富政策解读方式。二是优化平台功能，健全长效机制，加强各公开平台间信息互通和功能融合，持续提升服务能力，为建设透明、法治、服务型基层政府提供有力支撑。</w:t>
      </w:r>
    </w:p>
    <w:p w14:paraId="4AE5DE03">
      <w:pPr>
        <w:widowControl/>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六、其他需要报告的事项</w:t>
      </w:r>
    </w:p>
    <w:p w14:paraId="324472AD">
      <w:pPr>
        <w:widowControl/>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（一）收取信息处理费情况。</w:t>
      </w:r>
      <w:r>
        <w:rPr>
          <w:rFonts w:hint="eastAsia" w:ascii="仿宋_GB2312" w:hAnsi="仿宋_GB2312" w:eastAsia="仿宋_GB2312" w:cs="仿宋_GB2312"/>
          <w:kern w:val="0"/>
          <w:sz w:val="32"/>
          <w:szCs w:val="32"/>
        </w:rPr>
        <w:t>依据《政府信息公开信息处理费管理办法》，本年度信息公开未收取任何信息处理费。</w:t>
      </w:r>
    </w:p>
    <w:p w14:paraId="49541DF9">
      <w:pPr>
        <w:widowControl/>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（二）落实上级年度政务公开工作要点情况。</w:t>
      </w:r>
      <w:r>
        <w:rPr>
          <w:rFonts w:hint="eastAsia" w:ascii="仿宋_GB2312" w:hAnsi="仿宋_GB2312" w:eastAsia="仿宋_GB2312" w:cs="仿宋_GB2312"/>
          <w:kern w:val="0"/>
          <w:sz w:val="32"/>
          <w:szCs w:val="32"/>
        </w:rPr>
        <w:t>对照全省政务公开效能监测指标，认真梳理工作台账，及时调整政务网站法定主动公开内容有关栏目信息。对照依申请公开工作要求，在申请受理、办理、审核、答复、送达、归档等各环节，着力提高办理专业水平。</w:t>
      </w:r>
    </w:p>
    <w:p w14:paraId="0CA98AA7">
      <w:pPr>
        <w:widowControl/>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sz w:val="32"/>
          <w:szCs w:val="32"/>
        </w:rPr>
        <w:t>（三）人大代表建议和政协提案办理结果公开情况。</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共主办人大代表建议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件、协办</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件，主办政协委员提案</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件、协办</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件，均按规定时限办理答复</w:t>
      </w:r>
      <w:r>
        <w:rPr>
          <w:rFonts w:hint="eastAsia" w:ascii="仿宋_GB2312" w:hAnsi="仿宋_GB2312" w:eastAsia="仿宋_GB2312" w:cs="仿宋_GB2312"/>
          <w:sz w:val="32"/>
          <w:szCs w:val="32"/>
        </w:rPr>
        <w:t>。并依托“建议提案办理”专栏，对人大代表建议和政协提案办理结果进行集中公开，方便公众查询。</w:t>
      </w:r>
    </w:p>
    <w:p w14:paraId="5FB16AFC">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楷体_GB2312" w:hAnsi="仿宋_GB2312" w:eastAsia="楷体_GB2312" w:cs="仿宋_GB2312"/>
          <w:color w:val="000000"/>
          <w:kern w:val="0"/>
          <w:sz w:val="32"/>
          <w:szCs w:val="32"/>
        </w:rPr>
        <w:t>（四）政务公开工作创新情况：</w:t>
      </w:r>
      <w:r>
        <w:rPr>
          <w:rFonts w:hint="eastAsia" w:ascii="仿宋_GB2312" w:hAnsi="仿宋_GB2312" w:eastAsia="仿宋_GB2312" w:cs="仿宋_GB2312"/>
          <w:color w:val="000000"/>
          <w:kern w:val="0"/>
          <w:sz w:val="32"/>
          <w:szCs w:val="32"/>
        </w:rPr>
        <w:t>无。</w:t>
      </w:r>
    </w:p>
    <w:p w14:paraId="354DA4C1">
      <w:pPr>
        <w:widowControl/>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（五）本行政机关政府信息公开工作年度报告数据统计需要说明的事项。</w:t>
      </w:r>
      <w:r>
        <w:rPr>
          <w:rFonts w:hint="eastAsia" w:ascii="仿宋_GB2312" w:hAnsi="仿宋_GB2312" w:eastAsia="仿宋_GB2312" w:cs="仿宋_GB2312"/>
          <w:kern w:val="0"/>
          <w:sz w:val="32"/>
          <w:szCs w:val="32"/>
        </w:rPr>
        <w:t>报告中所列数据的统计期限自</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日起至</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日止。</w:t>
      </w:r>
    </w:p>
    <w:p w14:paraId="00695B62">
      <w:pPr>
        <w:widowControl/>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（六）本行政机关认为需要报告的其他事项：</w:t>
      </w:r>
      <w:r>
        <w:rPr>
          <w:rFonts w:hint="eastAsia" w:ascii="仿宋_GB2312" w:hAnsi="仿宋_GB2312" w:eastAsia="仿宋_GB2312" w:cs="仿宋_GB2312"/>
          <w:kern w:val="0"/>
          <w:sz w:val="32"/>
          <w:szCs w:val="32"/>
        </w:rPr>
        <w:t>无。</w:t>
      </w:r>
    </w:p>
    <w:p w14:paraId="048E5C99">
      <w:pPr>
        <w:widowControl/>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（七）其他有关文件专门要求通过政府信息公开工作年度报告予以报告的事项：</w:t>
      </w:r>
      <w:r>
        <w:rPr>
          <w:rFonts w:hint="eastAsia" w:ascii="仿宋_GB2312" w:hAnsi="仿宋_GB2312" w:eastAsia="仿宋_GB2312" w:cs="仿宋_GB2312"/>
          <w:kern w:val="0"/>
          <w:sz w:val="32"/>
          <w:szCs w:val="32"/>
        </w:rPr>
        <w:t>无。</w:t>
      </w:r>
    </w:p>
    <w:p w14:paraId="0BDF3F2E">
      <w:pPr>
        <w:widowControl/>
        <w:spacing w:line="560" w:lineRule="exact"/>
        <w:ind w:firstLine="640" w:firstLineChars="200"/>
        <w:rPr>
          <w:rFonts w:ascii="仿宋_GB2312" w:hAnsi="仿宋_GB2312" w:eastAsia="仿宋_GB2312" w:cs="仿宋_GB2312"/>
          <w:kern w:val="0"/>
          <w:sz w:val="32"/>
          <w:szCs w:val="32"/>
        </w:rPr>
      </w:pPr>
    </w:p>
    <w:p w14:paraId="6DE213BF">
      <w:pPr>
        <w:widowControl/>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台儿庄区</w:t>
      </w:r>
      <w:r>
        <w:rPr>
          <w:rFonts w:ascii="仿宋_GB2312" w:hAnsi="仿宋_GB2312" w:eastAsia="仿宋_GB2312" w:cs="仿宋_GB2312"/>
          <w:kern w:val="0"/>
          <w:sz w:val="32"/>
          <w:szCs w:val="32"/>
        </w:rPr>
        <w:t>运河街道办事处</w:t>
      </w:r>
    </w:p>
    <w:p w14:paraId="2C4BB116">
      <w:pPr>
        <w:widowControl/>
        <w:spacing w:line="560" w:lineRule="exact"/>
        <w:ind w:right="480" w:firstLine="640" w:firstLineChars="200"/>
        <w:jc w:val="righ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ascii="仿宋_GB2312" w:hAnsi="仿宋_GB2312" w:eastAsia="仿宋_GB2312" w:cs="仿宋_GB2312"/>
          <w:kern w:val="0"/>
          <w:sz w:val="32"/>
          <w:szCs w:val="32"/>
        </w:rPr>
        <w:t>年1月1</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日</w:t>
      </w:r>
    </w:p>
    <w:p w14:paraId="5F182759">
      <w:pPr>
        <w:widowControl/>
        <w:spacing w:line="560" w:lineRule="exact"/>
        <w:rPr>
          <w:rFonts w:ascii="仿宋_GB2312" w:hAnsi="仿宋_GB2312" w:eastAsia="仿宋_GB2312" w:cs="仿宋_GB2312"/>
          <w:sz w:val="32"/>
          <w:szCs w:val="32"/>
        </w:rPr>
      </w:pPr>
    </w:p>
    <w:p w14:paraId="2E28C88C"/>
    <w:sectPr>
      <w:pgSz w:w="11906" w:h="16838"/>
      <w:pgMar w:top="1984" w:right="1587" w:bottom="181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334C0"/>
    <w:rsid w:val="0A386733"/>
    <w:rsid w:val="25C12BDC"/>
    <w:rsid w:val="483E6692"/>
    <w:rsid w:val="5BA334C0"/>
    <w:rsid w:val="5D6753BF"/>
    <w:rsid w:val="6783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2574</Words>
  <Characters>2673</Characters>
  <Lines>0</Lines>
  <Paragraphs>0</Paragraphs>
  <TotalTime>3</TotalTime>
  <ScaleCrop>false</ScaleCrop>
  <LinksUpToDate>false</LinksUpToDate>
  <CharactersWithSpaces>2673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2026-01-12T03:21:00Z</dcterms:created>
  <dc:creator>慕寒mio</dc:creator>
  <cp:lastModifiedBy>慕寒mio</cp:lastModifiedBy>
  <dcterms:modified xsi:type="dcterms:W3CDTF">2026-01-14T00:53:05Z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6293882E51FD47F5BB1317B8320D805F_13</vt:lpwstr>
  </property>
  <property fmtid="{D5CDD505-2E9C-101B-9397-08002B2CF9AE}" pid="4" name="KSOTemplateDocerSaveRecord">
    <vt:lpwstr>eyJoZGlkIjoiNGI3YzdjMzRlYzM0MTFmOGJmYTY3MDY0NDM0YzU3M2EiLCJ1c2VySWQiOiI3NTA4OTk0NjAifQ==</vt:lpwstr>
  </property>
</Properties>
</file>