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D3429">
      <w:pPr>
        <w:pStyle w:val="2"/>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17"/>
          <w:sz w:val="44"/>
          <w:szCs w:val="44"/>
          <w:shd w:val="clear" w:color="auto" w:fill="FFFFFF"/>
          <w:lang w:val="en-US" w:eastAsia="zh-CN"/>
        </w:rPr>
      </w:pPr>
      <w:bookmarkStart w:id="10" w:name="_GoBack"/>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枣庄市台儿庄区行政审批服务局</w:t>
      </w:r>
    </w:p>
    <w:p w14:paraId="1EE24DC0">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313" w:afterLines="100" w:afterAutospacing="0" w:line="560" w:lineRule="exact"/>
        <w:jc w:val="center"/>
        <w:textAlignment w:val="auto"/>
        <w:rPr>
          <w:rFonts w:hint="eastAsia" w:ascii="方正小标宋简体" w:hAnsi="方正小标宋简体" w:eastAsia="方正小标宋简体" w:cs="方正小标宋简体"/>
          <w:bCs/>
          <w:color w:val="333333"/>
          <w:spacing w:val="-17"/>
          <w:sz w:val="44"/>
          <w:szCs w:val="44"/>
          <w:shd w:val="clear" w:color="auto" w:fill="FFFFFF"/>
          <w:lang w:val="en-US" w:eastAsia="zh-CN"/>
        </w:rPr>
      </w:pP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2025年政府信息公开工作年度报告</w:t>
      </w:r>
    </w:p>
    <w:p w14:paraId="6BAA1FF4">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ascii="仿宋_GB2312" w:hAnsi="仿宋_GB2312" w:eastAsia="仿宋_GB2312" w:cs="仿宋_GB2312"/>
          <w:spacing w:val="-4"/>
          <w:sz w:val="32"/>
          <w:szCs w:val="32"/>
        </w:rPr>
      </w:pPr>
      <w:r>
        <w:rPr>
          <w:rFonts w:ascii="仿宋_GB2312" w:hAnsi="宋体" w:eastAsia="仿宋_GB2312" w:cs="仿宋_GB2312"/>
          <w:i w:val="0"/>
          <w:iCs w:val="0"/>
          <w:caps w:val="0"/>
          <w:color w:val="00000A"/>
          <w:spacing w:val="0"/>
          <w:kern w:val="0"/>
          <w:sz w:val="32"/>
          <w:szCs w:val="32"/>
          <w:lang w:val="en-US" w:eastAsia="zh-CN" w:bidi="ar"/>
        </w:rPr>
        <w:t>本年度报告根据《中华人民共和国政府信息公开条例》等有关规定编制而成。</w:t>
      </w:r>
      <w:r>
        <w:rPr>
          <w:rFonts w:hint="eastAsia" w:ascii="仿宋_GB2312" w:hAnsi="仿宋_GB2312" w:eastAsia="仿宋_GB2312" w:cs="仿宋_GB2312"/>
          <w:color w:val="auto"/>
          <w:spacing w:val="-4"/>
          <w:kern w:val="0"/>
          <w:sz w:val="32"/>
          <w:szCs w:val="32"/>
          <w:lang w:bidi="ar"/>
        </w:rPr>
        <w:t>本报告</w:t>
      </w:r>
      <w:r>
        <w:rPr>
          <w:rFonts w:hint="eastAsia" w:ascii="仿宋_GB2312" w:hAnsi="仿宋_GB2312" w:eastAsia="仿宋_GB2312" w:cs="仿宋_GB2312"/>
          <w:color w:val="auto"/>
          <w:spacing w:val="-4"/>
          <w:sz w:val="32"/>
          <w:szCs w:val="32"/>
        </w:rPr>
        <w:t>由总体情况、</w:t>
      </w:r>
      <w:r>
        <w:rPr>
          <w:rFonts w:hint="eastAsia" w:ascii="仿宋_GB2312" w:hAnsi="仿宋_GB2312" w:eastAsia="仿宋_GB2312" w:cs="仿宋_GB2312"/>
          <w:color w:val="auto"/>
          <w:spacing w:val="-4"/>
          <w:sz w:val="32"/>
          <w:szCs w:val="32"/>
          <w:shd w:val="clear" w:color="auto" w:fill="FFFFFF"/>
        </w:rPr>
        <w:t>主动公开政府信息情况</w:t>
      </w:r>
      <w:r>
        <w:rPr>
          <w:rFonts w:hint="eastAsia" w:ascii="仿宋_GB2312" w:hAnsi="仿宋_GB2312" w:eastAsia="仿宋_GB2312" w:cs="仿宋_GB2312"/>
          <w:color w:val="auto"/>
          <w:spacing w:val="-4"/>
          <w:sz w:val="32"/>
          <w:szCs w:val="32"/>
          <w:shd w:val="clear" w:color="auto" w:fill="FFFFFF"/>
          <w:lang w:eastAsia="zh-CN"/>
        </w:rPr>
        <w:t>，</w:t>
      </w:r>
      <w:r>
        <w:rPr>
          <w:rFonts w:hint="eastAsia" w:ascii="仿宋_GB2312" w:hAnsi="仿宋_GB2312" w:eastAsia="仿宋_GB2312" w:cs="仿宋_GB2312"/>
          <w:color w:val="auto"/>
          <w:spacing w:val="-4"/>
          <w:sz w:val="32"/>
          <w:szCs w:val="32"/>
        </w:rPr>
        <w:t>收到和处理政府信息公开申请情况</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政府信息公开行政复议、行政诉讼情况</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存在的主要问题及改进情况</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其他需要报告的事项等六个部分组成。</w:t>
      </w:r>
      <w:r>
        <w:rPr>
          <w:rFonts w:hint="eastAsia" w:ascii="仿宋_GB2312" w:hAnsi="仿宋_GB2312" w:eastAsia="仿宋_GB2312" w:cs="仿宋_GB2312"/>
          <w:color w:val="auto"/>
          <w:spacing w:val="-4"/>
          <w:kern w:val="0"/>
          <w:sz w:val="32"/>
          <w:szCs w:val="32"/>
          <w:lang w:bidi="ar"/>
        </w:rPr>
        <w:t>报告</w:t>
      </w:r>
      <w:r>
        <w:rPr>
          <w:rFonts w:hint="eastAsia" w:ascii="仿宋_GB2312" w:hAnsi="仿宋_GB2312" w:eastAsia="仿宋_GB2312" w:cs="仿宋_GB2312"/>
          <w:color w:val="auto"/>
          <w:spacing w:val="-4"/>
          <w:sz w:val="32"/>
          <w:szCs w:val="32"/>
        </w:rPr>
        <w:t>中所列数据的统计期限自202</w:t>
      </w:r>
      <w:r>
        <w:rPr>
          <w:rFonts w:hint="eastAsia" w:ascii="仿宋_GB2312" w:hAnsi="仿宋_GB2312" w:eastAsia="仿宋_GB2312" w:cs="仿宋_GB2312"/>
          <w:color w:val="auto"/>
          <w:spacing w:val="-4"/>
          <w:sz w:val="32"/>
          <w:szCs w:val="32"/>
          <w:lang w:val="en-US" w:eastAsia="zh-CN"/>
        </w:rPr>
        <w:t>5</w:t>
      </w:r>
      <w:r>
        <w:rPr>
          <w:rFonts w:hint="eastAsia" w:ascii="仿宋_GB2312" w:hAnsi="仿宋_GB2312" w:eastAsia="仿宋_GB2312" w:cs="仿宋_GB2312"/>
          <w:color w:val="auto"/>
          <w:spacing w:val="-4"/>
          <w:sz w:val="32"/>
          <w:szCs w:val="32"/>
        </w:rPr>
        <w:t>年1月1日起至202</w:t>
      </w:r>
      <w:r>
        <w:rPr>
          <w:rFonts w:hint="eastAsia" w:ascii="仿宋_GB2312" w:hAnsi="仿宋_GB2312" w:eastAsia="仿宋_GB2312" w:cs="仿宋_GB2312"/>
          <w:color w:val="auto"/>
          <w:spacing w:val="-4"/>
          <w:sz w:val="32"/>
          <w:szCs w:val="32"/>
          <w:lang w:val="en-US" w:eastAsia="zh-CN"/>
        </w:rPr>
        <w:t>5</w:t>
      </w:r>
      <w:r>
        <w:rPr>
          <w:rFonts w:hint="eastAsia" w:ascii="仿宋_GB2312" w:hAnsi="仿宋_GB2312" w:eastAsia="仿宋_GB2312" w:cs="仿宋_GB2312"/>
          <w:color w:val="auto"/>
          <w:spacing w:val="-4"/>
          <w:sz w:val="32"/>
          <w:szCs w:val="32"/>
        </w:rPr>
        <w:t>年12月31日止。</w:t>
      </w:r>
      <w:r>
        <w:rPr>
          <w:rFonts w:hint="eastAsia" w:ascii="仿宋_GB2312" w:hAnsi="仿宋_GB2312" w:eastAsia="仿宋_GB2312" w:cs="仿宋_GB2312"/>
          <w:color w:val="auto"/>
          <w:spacing w:val="-4"/>
          <w:kern w:val="0"/>
          <w:sz w:val="32"/>
          <w:szCs w:val="32"/>
          <w:lang w:bidi="ar"/>
        </w:rPr>
        <w:t>报告</w:t>
      </w:r>
      <w:r>
        <w:rPr>
          <w:rFonts w:hint="eastAsia" w:ascii="仿宋_GB2312" w:hAnsi="仿宋_GB2312" w:eastAsia="仿宋_GB2312" w:cs="仿宋_GB2312"/>
          <w:color w:val="auto"/>
          <w:spacing w:val="-4"/>
          <w:sz w:val="32"/>
          <w:szCs w:val="32"/>
        </w:rPr>
        <w:t>的电</w:t>
      </w:r>
      <w:r>
        <w:rPr>
          <w:rFonts w:hint="eastAsia" w:ascii="仿宋_GB2312" w:hAnsi="仿宋_GB2312" w:eastAsia="仿宋_GB2312" w:cs="仿宋_GB2312"/>
          <w:spacing w:val="-4"/>
          <w:sz w:val="32"/>
          <w:szCs w:val="32"/>
        </w:rPr>
        <w:t>子版可在“台儿庄区政府门户网站”下载。如对</w:t>
      </w:r>
      <w:r>
        <w:rPr>
          <w:rFonts w:hint="eastAsia" w:ascii="仿宋_GB2312" w:hAnsi="仿宋_GB2312" w:eastAsia="仿宋_GB2312" w:cs="仿宋_GB2312"/>
          <w:spacing w:val="-4"/>
          <w:kern w:val="0"/>
          <w:sz w:val="32"/>
          <w:szCs w:val="32"/>
          <w:lang w:bidi="ar"/>
        </w:rPr>
        <w:t>报告</w:t>
      </w:r>
      <w:r>
        <w:rPr>
          <w:rFonts w:hint="eastAsia" w:ascii="仿宋_GB2312" w:hAnsi="仿宋_GB2312" w:eastAsia="仿宋_GB2312" w:cs="仿宋_GB2312"/>
          <w:spacing w:val="-4"/>
          <w:sz w:val="32"/>
          <w:szCs w:val="32"/>
        </w:rPr>
        <w:t>有疑问，请与台儿庄区行政审批服务局联系</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地址</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枣庄市台儿庄区台中路1506号；电话：</w:t>
      </w:r>
      <w:r>
        <w:rPr>
          <w:rFonts w:hint="eastAsia" w:ascii="仿宋_GB2312" w:hAnsi="仿宋_GB2312" w:eastAsia="仿宋_GB2312" w:cs="仿宋_GB2312"/>
          <w:spacing w:val="-4"/>
          <w:sz w:val="32"/>
          <w:szCs w:val="32"/>
          <w:lang w:eastAsia="zh-CN"/>
        </w:rPr>
        <w:t>0632-6616110</w:t>
      </w:r>
      <w:r>
        <w:rPr>
          <w:rFonts w:hint="eastAsia" w:ascii="仿宋_GB2312" w:hAnsi="仿宋_GB2312" w:eastAsia="仿宋_GB2312" w:cs="仿宋_GB2312"/>
          <w:spacing w:val="-4"/>
          <w:sz w:val="32"/>
          <w:szCs w:val="32"/>
        </w:rPr>
        <w:t xml:space="preserve">；邮箱：tezqzgb@zz.shandong.cn </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w:t>
      </w:r>
    </w:p>
    <w:p w14:paraId="53A7D0C9">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24" w:firstLineChars="200"/>
        <w:jc w:val="left"/>
        <w:textAlignment w:val="auto"/>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一、总体情况</w:t>
      </w:r>
    </w:p>
    <w:p w14:paraId="63A9BAA6">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24" w:firstLineChars="200"/>
        <w:jc w:val="left"/>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lang w:val="en-US" w:eastAsia="zh-CN"/>
        </w:rPr>
        <w:t>本年度，我局严格遵循《中华人民共和国政府信息公开条例》及省、市、区相关工作要求，坚持以公开为常态、不公开为例外，持续深化重点领域信息公开，优化政策解读与互动回应，不断提升政务公开标准化、规范化水平，切实保障公众知情权、参与权和监督权，助力打造更加透明、便捷、高效的政务服务环境。</w:t>
      </w:r>
    </w:p>
    <w:p w14:paraId="08CD19B9">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color w:val="auto"/>
        </w:rPr>
      </w:pPr>
      <w:r>
        <w:rPr>
          <w:rStyle w:val="5"/>
          <w:rFonts w:hint="eastAsia" w:ascii="楷体_GB2312" w:hAnsi="楷体_GB2312" w:eastAsia="楷体_GB2312" w:cs="楷体_GB2312"/>
          <w:b w:val="0"/>
          <w:bCs/>
          <w:kern w:val="0"/>
          <w:sz w:val="32"/>
          <w:szCs w:val="32"/>
          <w:lang w:val="en-US" w:eastAsia="zh-CN" w:bidi="ar"/>
        </w:rPr>
        <w:t>（一）聚焦主动公开，深化政务服务透明度。</w:t>
      </w:r>
      <w:r>
        <w:rPr>
          <w:rFonts w:hint="eastAsia" w:ascii="仿宋_GB2312" w:hAnsi="仿宋_GB2312" w:eastAsia="仿宋_GB2312" w:cs="仿宋_GB2312"/>
          <w:color w:val="auto"/>
          <w:spacing w:val="-4"/>
          <w:sz w:val="32"/>
          <w:szCs w:val="32"/>
          <w:lang w:val="en-US" w:eastAsia="zh-CN"/>
        </w:rPr>
        <w:t>我局紧紧围绕《条例》法定要求和《山东省政府信息主动公开基本目录》，扎实推进政府信息主动公开。</w:t>
      </w:r>
      <w:r>
        <w:rPr>
          <w:rFonts w:ascii="仿宋_GB2312" w:hAnsi="宋体" w:eastAsia="仿宋_GB2312" w:cs="仿宋_GB2312"/>
          <w:i w:val="0"/>
          <w:iCs w:val="0"/>
          <w:caps w:val="0"/>
          <w:color w:val="auto"/>
          <w:spacing w:val="0"/>
          <w:kern w:val="0"/>
          <w:sz w:val="32"/>
          <w:szCs w:val="32"/>
          <w:shd w:val="clear" w:color="auto" w:fill="FFFFFF"/>
          <w:lang w:val="en-US" w:eastAsia="zh-CN" w:bidi="ar"/>
        </w:rPr>
        <w:t>202</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5</w:t>
      </w:r>
      <w:r>
        <w:rPr>
          <w:rFonts w:ascii="仿宋_GB2312" w:hAnsi="宋体" w:eastAsia="仿宋_GB2312" w:cs="仿宋_GB2312"/>
          <w:i w:val="0"/>
          <w:iCs w:val="0"/>
          <w:caps w:val="0"/>
          <w:color w:val="auto"/>
          <w:spacing w:val="0"/>
          <w:kern w:val="0"/>
          <w:sz w:val="32"/>
          <w:szCs w:val="32"/>
          <w:shd w:val="clear" w:color="auto" w:fill="FFFFFF"/>
          <w:lang w:val="en-US" w:eastAsia="zh-CN" w:bidi="ar"/>
        </w:rPr>
        <w:t>年，我局积极推进政府信息公开工作，</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及时</w:t>
      </w:r>
      <w:r>
        <w:rPr>
          <w:rFonts w:ascii="仿宋_GB2312" w:hAnsi="宋体" w:eastAsia="仿宋_GB2312" w:cs="仿宋_GB2312"/>
          <w:i w:val="0"/>
          <w:iCs w:val="0"/>
          <w:caps w:val="0"/>
          <w:color w:val="auto"/>
          <w:spacing w:val="0"/>
          <w:kern w:val="0"/>
          <w:sz w:val="32"/>
          <w:szCs w:val="32"/>
          <w:shd w:val="clear" w:color="auto" w:fill="FFFFFF"/>
          <w:lang w:val="en-US" w:eastAsia="zh-CN" w:bidi="ar"/>
        </w:rPr>
        <w:t>通过区政府门户网站政务公开栏目发布和更新信息，内容主要包括：</w:t>
      </w:r>
      <w:r>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t>行政许可公示、行政权力运行公开、</w:t>
      </w:r>
      <w:r>
        <w:rPr>
          <w:rFonts w:ascii="仿宋_GB2312" w:hAnsi="宋体" w:eastAsia="仿宋_GB2312" w:cs="仿宋_GB2312"/>
          <w:i w:val="0"/>
          <w:iCs w:val="0"/>
          <w:caps w:val="0"/>
          <w:color w:val="auto"/>
          <w:spacing w:val="0"/>
          <w:kern w:val="0"/>
          <w:sz w:val="32"/>
          <w:szCs w:val="32"/>
          <w:shd w:val="clear" w:color="auto" w:fill="FFFFFF"/>
          <w:lang w:val="en-US" w:eastAsia="zh-CN" w:bidi="ar"/>
        </w:rPr>
        <w:t>法治政府建设报告、结果公示等方面的重要信息。健全信息公开机制，加强信息公开审核，确保各信息公开内容完整准确。</w:t>
      </w:r>
    </w:p>
    <w:p w14:paraId="5241FC1E">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pacing w:val="-4"/>
          <w:sz w:val="32"/>
          <w:szCs w:val="32"/>
          <w:lang w:val="en-US" w:eastAsia="zh-CN"/>
        </w:rPr>
      </w:pPr>
      <w:r>
        <w:rPr>
          <w:rStyle w:val="5"/>
          <w:rFonts w:hint="eastAsia" w:ascii="楷体_GB2312" w:hAnsi="楷体_GB2312" w:eastAsia="楷体_GB2312" w:cs="楷体_GB2312"/>
          <w:b w:val="0"/>
          <w:bCs/>
          <w:kern w:val="0"/>
          <w:sz w:val="32"/>
          <w:szCs w:val="32"/>
          <w:lang w:val="en-US" w:eastAsia="zh-CN" w:bidi="ar"/>
        </w:rPr>
        <w:t>（二）规范依申请公开，保障公民合法权益。</w:t>
      </w:r>
      <w:r>
        <w:rPr>
          <w:rFonts w:hint="eastAsia" w:ascii="仿宋_GB2312" w:hAnsi="仿宋_GB2312" w:eastAsia="仿宋_GB2312" w:cs="仿宋_GB2312"/>
          <w:spacing w:val="-4"/>
          <w:sz w:val="32"/>
          <w:szCs w:val="32"/>
          <w:lang w:val="en-US" w:eastAsia="zh-CN"/>
        </w:rPr>
        <w:t>我局依法依规做好政府信息依申请公开工作。全年共收到政府信息依申请公开1件，所有申请均按法定时限、规范程序予以办理，办结率100%。在办理过程中，进一步优化内部流转与审核机制，明确各环节责任与时限。</w:t>
      </w:r>
    </w:p>
    <w:p w14:paraId="4A48079B">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pacing w:val="-4"/>
          <w:sz w:val="32"/>
          <w:szCs w:val="32"/>
          <w:lang w:val="en-US" w:eastAsia="zh-CN"/>
        </w:rPr>
      </w:pPr>
      <w:r>
        <w:rPr>
          <w:rStyle w:val="5"/>
          <w:rFonts w:hint="eastAsia" w:ascii="楷体_GB2312" w:hAnsi="楷体_GB2312" w:eastAsia="楷体_GB2312" w:cs="楷体_GB2312"/>
          <w:b w:val="0"/>
          <w:bCs/>
          <w:kern w:val="0"/>
          <w:sz w:val="32"/>
          <w:szCs w:val="32"/>
          <w:lang w:val="en-US" w:eastAsia="zh-CN" w:bidi="ar"/>
        </w:rPr>
        <w:t>（三）强化信息管理，夯实公开工作基础。</w:t>
      </w:r>
      <w:r>
        <w:rPr>
          <w:rFonts w:hint="eastAsia" w:ascii="仿宋_GB2312" w:hAnsi="仿宋_GB2312" w:eastAsia="仿宋_GB2312" w:cs="仿宋_GB2312"/>
          <w:spacing w:val="-4"/>
          <w:sz w:val="32"/>
          <w:szCs w:val="32"/>
          <w:lang w:val="en-US" w:eastAsia="zh-CN"/>
        </w:rPr>
        <w:t>着力加强政府信息全生命周期管理。</w:t>
      </w:r>
      <w:r>
        <w:rPr>
          <w:rFonts w:hint="eastAsia" w:ascii="仿宋_GB2312" w:hAnsi="仿宋_GB2312" w:eastAsia="仿宋_GB2312" w:cs="仿宋_GB2312"/>
          <w:b/>
          <w:bCs/>
          <w:color w:val="auto"/>
          <w:spacing w:val="-4"/>
          <w:sz w:val="32"/>
          <w:szCs w:val="32"/>
          <w:highlight w:val="none"/>
          <w:lang w:val="en-US" w:eastAsia="zh-CN"/>
        </w:rPr>
        <w:t>一是</w:t>
      </w:r>
      <w:r>
        <w:rPr>
          <w:rFonts w:ascii="仿宋_GB2312" w:hAnsi="宋体" w:eastAsia="仿宋_GB2312" w:cs="仿宋_GB2312"/>
          <w:i w:val="0"/>
          <w:iCs w:val="0"/>
          <w:caps w:val="0"/>
          <w:color w:val="auto"/>
          <w:spacing w:val="0"/>
          <w:kern w:val="0"/>
          <w:sz w:val="32"/>
          <w:szCs w:val="32"/>
          <w:highlight w:val="none"/>
          <w:shd w:val="clear" w:color="auto" w:fill="FFFFFF"/>
          <w:lang w:val="en-US" w:eastAsia="zh-CN" w:bidi="ar"/>
        </w:rPr>
        <w:t>严格按照《</w:t>
      </w:r>
      <w:r>
        <w:rPr>
          <w:rFonts w:hint="eastAsia" w:ascii="仿宋_GB2312" w:hAnsi="宋体" w:eastAsia="仿宋_GB2312" w:cs="仿宋_GB2312"/>
          <w:i w:val="0"/>
          <w:iCs w:val="0"/>
          <w:caps w:val="0"/>
          <w:color w:val="auto"/>
          <w:spacing w:val="0"/>
          <w:kern w:val="0"/>
          <w:sz w:val="32"/>
          <w:szCs w:val="32"/>
          <w:highlight w:val="none"/>
          <w:shd w:val="clear" w:color="auto" w:fill="FFFFFF"/>
          <w:lang w:val="en-US" w:eastAsia="zh-CN" w:bidi="ar"/>
        </w:rPr>
        <w:t>中华人民共和国政府信息公开条例</w:t>
      </w:r>
      <w:r>
        <w:rPr>
          <w:rFonts w:ascii="仿宋_GB2312" w:hAnsi="宋体" w:eastAsia="仿宋_GB2312" w:cs="仿宋_GB2312"/>
          <w:i w:val="0"/>
          <w:iCs w:val="0"/>
          <w:caps w:val="0"/>
          <w:color w:val="auto"/>
          <w:spacing w:val="0"/>
          <w:kern w:val="0"/>
          <w:sz w:val="32"/>
          <w:szCs w:val="32"/>
          <w:highlight w:val="none"/>
          <w:shd w:val="clear" w:color="auto" w:fill="FFFFFF"/>
          <w:lang w:val="en-US" w:eastAsia="zh-CN" w:bidi="ar"/>
        </w:rPr>
        <w:t>》和相关要求，从制作信息到公开信息，对政府信息的公开属性、内容、方式等进行全流程审查</w:t>
      </w:r>
      <w:r>
        <w:rPr>
          <w:rFonts w:hint="eastAsia" w:ascii="仿宋_GB2312" w:hAnsi="仿宋_GB2312" w:eastAsia="仿宋_GB2312" w:cs="仿宋_GB2312"/>
          <w:color w:val="auto"/>
          <w:spacing w:val="-4"/>
          <w:sz w:val="32"/>
          <w:szCs w:val="32"/>
          <w:highlight w:val="none"/>
          <w:lang w:val="en-US" w:eastAsia="zh-CN"/>
        </w:rPr>
        <w:t>，确保公开内容全面、分类科学。</w:t>
      </w:r>
      <w:r>
        <w:rPr>
          <w:rFonts w:hint="eastAsia" w:ascii="仿宋_GB2312" w:hAnsi="仿宋_GB2312" w:eastAsia="仿宋_GB2312" w:cs="仿宋_GB2312"/>
          <w:b/>
          <w:bCs/>
          <w:color w:val="auto"/>
          <w:spacing w:val="-4"/>
          <w:sz w:val="32"/>
          <w:szCs w:val="32"/>
          <w:highlight w:val="none"/>
          <w:lang w:val="en-US" w:eastAsia="zh-CN"/>
        </w:rPr>
        <w:t>二是</w:t>
      </w:r>
      <w:r>
        <w:rPr>
          <w:rFonts w:hint="eastAsia" w:ascii="仿宋_GB2312" w:hAnsi="仿宋_GB2312" w:eastAsia="仿宋_GB2312" w:cs="仿宋_GB2312"/>
          <w:color w:val="auto"/>
          <w:spacing w:val="-4"/>
          <w:sz w:val="32"/>
          <w:szCs w:val="32"/>
          <w:highlight w:val="none"/>
          <w:lang w:val="en-US" w:eastAsia="zh-CN"/>
        </w:rPr>
        <w:t>健全信息制作、获取、保存、归档等环节的管理制度，确保信息源</w:t>
      </w:r>
      <w:r>
        <w:rPr>
          <w:rFonts w:hint="eastAsia" w:ascii="仿宋_GB2312" w:hAnsi="仿宋_GB2312" w:eastAsia="仿宋_GB2312" w:cs="仿宋_GB2312"/>
          <w:color w:val="auto"/>
          <w:spacing w:val="-4"/>
          <w:sz w:val="32"/>
          <w:szCs w:val="32"/>
          <w:lang w:val="en-US" w:eastAsia="zh-CN"/>
        </w:rPr>
        <w:t>头认定清晰、发布准确及时。</w:t>
      </w:r>
      <w:r>
        <w:rPr>
          <w:rFonts w:hint="eastAsia" w:ascii="仿宋_GB2312" w:hAnsi="仿宋_GB2312" w:eastAsia="仿宋_GB2312" w:cs="仿宋_GB2312"/>
          <w:b/>
          <w:bCs/>
          <w:color w:val="auto"/>
          <w:spacing w:val="-4"/>
          <w:sz w:val="32"/>
          <w:szCs w:val="32"/>
          <w:lang w:val="en-US" w:eastAsia="zh-CN"/>
        </w:rPr>
        <w:t>三是</w:t>
      </w:r>
      <w:r>
        <w:rPr>
          <w:rFonts w:hint="eastAsia" w:ascii="仿宋_GB2312" w:hAnsi="仿宋_GB2312" w:eastAsia="仿宋_GB2312" w:cs="仿宋_GB2312"/>
          <w:color w:val="auto"/>
          <w:spacing w:val="-4"/>
          <w:sz w:val="32"/>
          <w:szCs w:val="32"/>
          <w:lang w:val="en-US" w:eastAsia="zh-CN"/>
        </w:rPr>
        <w:t>加强规范性文件公开管理，按要求集中统一发布并动态清理。</w:t>
      </w:r>
      <w:r>
        <w:rPr>
          <w:rFonts w:hint="eastAsia" w:ascii="仿宋_GB2312" w:hAnsi="仿宋_GB2312" w:eastAsia="仿宋_GB2312" w:cs="仿宋_GB2312"/>
          <w:b/>
          <w:bCs/>
          <w:color w:val="auto"/>
          <w:spacing w:val="-4"/>
          <w:sz w:val="32"/>
          <w:szCs w:val="32"/>
          <w:lang w:val="en-US" w:eastAsia="zh-CN"/>
        </w:rPr>
        <w:t>四是</w:t>
      </w:r>
      <w:r>
        <w:rPr>
          <w:rFonts w:hint="eastAsia" w:ascii="仿宋_GB2312" w:hAnsi="仿宋_GB2312" w:eastAsia="仿宋_GB2312" w:cs="仿宋_GB2312"/>
          <w:color w:val="auto"/>
          <w:spacing w:val="-4"/>
          <w:sz w:val="32"/>
          <w:szCs w:val="32"/>
          <w:lang w:val="en-US" w:eastAsia="zh-CN"/>
        </w:rPr>
        <w:t>严格执行信息公开保密审查制度，全年未发生因信息公开引发的失泄密事件。</w:t>
      </w:r>
    </w:p>
    <w:p w14:paraId="00FB4970">
      <w:pPr>
        <w:keepNext w:val="0"/>
        <w:keepLines w:val="0"/>
        <w:pageBreakBefore w:val="0"/>
        <w:widowControl w:val="0"/>
        <w:suppressLineNumbers w:val="0"/>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pacing w:val="-4"/>
          <w:sz w:val="32"/>
          <w:szCs w:val="32"/>
          <w:lang w:val="en-US" w:eastAsia="zh-CN"/>
        </w:rPr>
      </w:pPr>
      <w:r>
        <w:rPr>
          <w:rStyle w:val="5"/>
          <w:rFonts w:hint="eastAsia" w:ascii="楷体_GB2312" w:hAnsi="楷体_GB2312" w:eastAsia="楷体_GB2312" w:cs="楷体_GB2312"/>
          <w:b w:val="0"/>
          <w:bCs/>
          <w:kern w:val="0"/>
          <w:sz w:val="32"/>
          <w:szCs w:val="32"/>
          <w:lang w:val="en-US" w:eastAsia="zh-CN" w:bidi="ar"/>
        </w:rPr>
        <w:t>（四）优化平台建设，拓宽政务公开渠道。</w:t>
      </w:r>
      <w:r>
        <w:rPr>
          <w:rFonts w:hint="eastAsia" w:ascii="仿宋_GB2312" w:hAnsi="仿宋_GB2312" w:eastAsia="仿宋_GB2312" w:cs="仿宋_GB2312"/>
          <w:spacing w:val="-4"/>
          <w:sz w:val="32"/>
          <w:szCs w:val="32"/>
          <w:lang w:val="en-US" w:eastAsia="zh-CN"/>
        </w:rPr>
        <w:t>持续拓展和优化多元化公开平台。</w:t>
      </w:r>
      <w:r>
        <w:rPr>
          <w:rFonts w:hint="eastAsia" w:ascii="仿宋_GB2312" w:hAnsi="仿宋_GB2312" w:eastAsia="仿宋_GB2312" w:cs="仿宋_GB2312"/>
          <w:b/>
          <w:bCs/>
          <w:spacing w:val="-4"/>
          <w:sz w:val="32"/>
          <w:szCs w:val="32"/>
          <w:lang w:val="en-US" w:eastAsia="zh-CN"/>
        </w:rPr>
        <w:t>一是</w:t>
      </w:r>
      <w:r>
        <w:rPr>
          <w:rFonts w:hint="eastAsia" w:ascii="仿宋_GB2312" w:hAnsi="仿宋_GB2312" w:eastAsia="仿宋_GB2312" w:cs="仿宋_GB2312"/>
          <w:spacing w:val="-4"/>
          <w:sz w:val="32"/>
          <w:szCs w:val="32"/>
          <w:lang w:val="en-US" w:eastAsia="zh-CN"/>
        </w:rPr>
        <w:t>强化政府网站第一公开平台作用，规范设置并及时更新信息公开专栏内容。</w:t>
      </w:r>
      <w:r>
        <w:rPr>
          <w:rFonts w:hint="eastAsia" w:ascii="仿宋_GB2312" w:hAnsi="仿宋_GB2312" w:eastAsia="仿宋_GB2312" w:cs="仿宋_GB2312"/>
          <w:b/>
          <w:bCs/>
          <w:spacing w:val="-4"/>
          <w:sz w:val="32"/>
          <w:szCs w:val="32"/>
          <w:lang w:val="en-US" w:eastAsia="zh-CN"/>
        </w:rPr>
        <w:t>二是</w:t>
      </w:r>
      <w:r>
        <w:rPr>
          <w:rFonts w:hint="eastAsia" w:ascii="仿宋_GB2312" w:hAnsi="仿宋_GB2312" w:eastAsia="仿宋_GB2312" w:cs="仿宋_GB2312"/>
          <w:spacing w:val="-4"/>
          <w:sz w:val="32"/>
          <w:szCs w:val="32"/>
          <w:lang w:val="en-US" w:eastAsia="zh-CN"/>
        </w:rPr>
        <w:t>加强政务新媒体建设与管理，提升信息发布、互动服务和办事引导功能。</w:t>
      </w:r>
      <w:r>
        <w:rPr>
          <w:rFonts w:hint="eastAsia" w:ascii="仿宋_GB2312" w:hAnsi="仿宋_GB2312" w:eastAsia="仿宋_GB2312" w:cs="仿宋_GB2312"/>
          <w:b/>
          <w:bCs/>
          <w:spacing w:val="-4"/>
          <w:sz w:val="32"/>
          <w:szCs w:val="32"/>
          <w:lang w:val="en-US" w:eastAsia="zh-CN"/>
        </w:rPr>
        <w:t>三是</w:t>
      </w:r>
      <w:r>
        <w:rPr>
          <w:rFonts w:hint="eastAsia" w:ascii="仿宋_GB2312" w:hAnsi="仿宋_GB2312" w:eastAsia="仿宋_GB2312" w:cs="仿宋_GB2312"/>
          <w:spacing w:val="-4"/>
          <w:sz w:val="32"/>
          <w:szCs w:val="32"/>
          <w:lang w:val="en-US" w:eastAsia="zh-CN"/>
        </w:rPr>
        <w:t>依托区政务服务大厅，通过电子显示屏、自助服务终端等载体，公开办事指南、服务流程和结果信息，推动线上线下公开渠道融合发展、互补互促。</w:t>
      </w:r>
    </w:p>
    <w:p w14:paraId="6F9CA44C">
      <w:pPr>
        <w:keepNext w:val="0"/>
        <w:keepLines w:val="0"/>
        <w:pageBreakBefore w:val="0"/>
        <w:widowControl w:val="0"/>
        <w:suppressLineNumbers w:val="0"/>
        <w:kinsoku/>
        <w:wordWrap w:val="0"/>
        <w:overflowPunct/>
        <w:topLinePunct w:val="0"/>
        <w:autoSpaceDE/>
        <w:autoSpaceDN/>
        <w:bidi w:val="0"/>
        <w:adjustRightInd/>
        <w:snapToGrid/>
        <w:spacing w:line="540" w:lineRule="exact"/>
        <w:ind w:firstLine="640" w:firstLineChars="200"/>
        <w:jc w:val="left"/>
        <w:textAlignment w:val="auto"/>
        <w:rPr>
          <w:rFonts w:hint="eastAsia"/>
        </w:rPr>
      </w:pPr>
      <w:r>
        <w:rPr>
          <w:rStyle w:val="5"/>
          <w:rFonts w:hint="eastAsia" w:ascii="楷体_GB2312" w:hAnsi="楷体_GB2312" w:eastAsia="楷体_GB2312" w:cs="楷体_GB2312"/>
          <w:b w:val="0"/>
          <w:bCs/>
          <w:kern w:val="0"/>
          <w:sz w:val="32"/>
          <w:szCs w:val="32"/>
          <w:lang w:val="en-US" w:eastAsia="zh-CN" w:bidi="ar"/>
        </w:rPr>
        <w:t>（五）健全监督保障，推动工作提质增效。</w:t>
      </w:r>
      <w:r>
        <w:rPr>
          <w:rFonts w:hint="eastAsia" w:ascii="仿宋_GB2312" w:hAnsi="仿宋_GB2312" w:eastAsia="仿宋_GB2312" w:cs="仿宋_GB2312"/>
          <w:color w:val="auto"/>
          <w:spacing w:val="-4"/>
          <w:kern w:val="0"/>
          <w:sz w:val="32"/>
          <w:szCs w:val="32"/>
          <w:shd w:val="clear" w:color="auto" w:fill="FFFFFF"/>
          <w:lang w:val="en-US" w:eastAsia="zh-CN" w:bidi="ar-SA"/>
        </w:rPr>
        <w:t>将政务公开工作纳入年度重点工作统筹推进。明确分管领导、责任科室和具体工作人员，确保工作有人抓、有人管。积极学习政务公开新知识，重点学习《条例》新精神、新要求以及依申请公开实务，有效提升工作人员专业素养和业务能力。主动接受社会评议和监督，将政务公开工作落实情况纳入内部考核评价体系，持续推动公开工作向纵深发展。</w:t>
      </w:r>
    </w:p>
    <w:p w14:paraId="2087B27E">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黑体" w:hAnsi="黑体" w:eastAsia="黑体" w:cs="黑体"/>
          <w:sz w:val="32"/>
          <w:szCs w:val="32"/>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14:paraId="2F14C3E5">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5494159">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97CF0C2">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FB97D7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050B54C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1192D9F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66167D2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7BB04532">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995B3F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6CBA2821">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7C4A56D">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083583F">
            <w:pPr>
              <w:widowControl/>
              <w:jc w:val="center"/>
              <w:rPr>
                <w:rFonts w:hint="eastAsia" w:ascii="仿宋_GB2312" w:hAnsi="Calibri" w:eastAsia="仿宋_GB2312" w:cs="Calibri"/>
                <w:color w:val="auto"/>
                <w:kern w:val="0"/>
                <w:szCs w:val="21"/>
                <w:lang w:eastAsia="zh-CN"/>
              </w:rPr>
            </w:pPr>
            <w:r>
              <w:rPr>
                <w:rFonts w:hint="eastAsia" w:ascii="仿宋_GB2312" w:hAnsi="宋体" w:eastAsia="仿宋_GB2312" w:cs="宋体"/>
                <w:color w:val="auto"/>
                <w:kern w:val="0"/>
                <w:szCs w:val="21"/>
                <w:lang w:val="en-US" w:eastAsia="zh-CN"/>
              </w:rPr>
              <w:t>0</w:t>
            </w:r>
          </w:p>
        </w:tc>
      </w:tr>
      <w:tr w14:paraId="3B4B26EA">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37ED3D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56441D3F">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F4DA8C2">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A9F689E">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6B514992">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3C9158C">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5B4C5EA0">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06D87C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3F1AAEA1">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6950090A">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F394BCF">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2D648B37">
            <w:pPr>
              <w:widowControl/>
              <w:jc w:val="center"/>
              <w:rPr>
                <w:rFonts w:hint="default"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11528</w:t>
            </w:r>
          </w:p>
        </w:tc>
      </w:tr>
      <w:tr w14:paraId="7D7C7411">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B6DBF2D">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0D38C5D4">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C095D7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A9864A0">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3414CBC2">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C0AB1B2">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5C4AEDD1">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20818A63">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649D46FC">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5576DFA4">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575CD062">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AAA1162">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40AE2F3D">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5A7B44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DAB34B8">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014447F0">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84EE8A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1D0B319E">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bl>
    <w:p w14:paraId="0D9F13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0F9D7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noWrap w:val="0"/>
            <w:tcMar>
              <w:left w:w="108" w:type="dxa"/>
              <w:right w:w="108" w:type="dxa"/>
            </w:tcMar>
            <w:vAlign w:val="center"/>
          </w:tcPr>
          <w:p w14:paraId="23DA1A1F">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22C41AF2">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54" w:type="dxa"/>
            <w:gridSpan w:val="7"/>
            <w:noWrap w:val="0"/>
            <w:tcMar>
              <w:left w:w="108" w:type="dxa"/>
              <w:right w:w="108" w:type="dxa"/>
            </w:tcMar>
            <w:vAlign w:val="center"/>
          </w:tcPr>
          <w:p w14:paraId="1F188F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66053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noWrap w:val="0"/>
            <w:tcMar>
              <w:left w:w="108" w:type="dxa"/>
              <w:right w:w="108" w:type="dxa"/>
            </w:tcMar>
            <w:vAlign w:val="center"/>
          </w:tcPr>
          <w:p w14:paraId="6D6A0120">
            <w:pPr>
              <w:jc w:val="center"/>
              <w:rPr>
                <w:rFonts w:ascii="仿宋_GB2312" w:eastAsia="仿宋_GB2312"/>
                <w:color w:val="auto"/>
                <w:szCs w:val="21"/>
              </w:rPr>
            </w:pPr>
          </w:p>
        </w:tc>
        <w:tc>
          <w:tcPr>
            <w:tcW w:w="752" w:type="dxa"/>
            <w:vMerge w:val="restart"/>
            <w:noWrap w:val="0"/>
            <w:tcMar>
              <w:left w:w="108" w:type="dxa"/>
              <w:right w:w="108" w:type="dxa"/>
            </w:tcMar>
            <w:vAlign w:val="center"/>
          </w:tcPr>
          <w:p w14:paraId="65949B99">
            <w:pPr>
              <w:widowControl/>
              <w:jc w:val="center"/>
              <w:rPr>
                <w:rFonts w:ascii="黑体" w:hAnsi="黑体" w:eastAsia="黑体"/>
                <w:color w:val="auto"/>
                <w:szCs w:val="21"/>
              </w:rPr>
            </w:pPr>
            <w:r>
              <w:rPr>
                <w:rFonts w:hint="eastAsia" w:ascii="黑体" w:hAnsi="黑体" w:eastAsia="黑体"/>
                <w:color w:val="auto"/>
                <w:kern w:val="0"/>
                <w:szCs w:val="21"/>
              </w:rPr>
              <w:t>自然人</w:t>
            </w:r>
          </w:p>
        </w:tc>
        <w:tc>
          <w:tcPr>
            <w:tcW w:w="3001" w:type="dxa"/>
            <w:gridSpan w:val="5"/>
            <w:noWrap w:val="0"/>
            <w:tcMar>
              <w:left w:w="108" w:type="dxa"/>
              <w:right w:w="108" w:type="dxa"/>
            </w:tcMar>
            <w:vAlign w:val="center"/>
          </w:tcPr>
          <w:p w14:paraId="2FB7BCA0">
            <w:pPr>
              <w:widowControl/>
              <w:spacing w:line="320" w:lineRule="exact"/>
              <w:jc w:val="center"/>
              <w:rPr>
                <w:rFonts w:ascii="黑体" w:hAnsi="黑体" w:eastAsia="黑体"/>
                <w:color w:val="auto"/>
                <w:szCs w:val="21"/>
              </w:rPr>
            </w:pPr>
            <w:r>
              <w:rPr>
                <w:rFonts w:hint="eastAsia" w:ascii="黑体" w:hAnsi="黑体" w:eastAsia="黑体"/>
                <w:color w:val="auto"/>
                <w:kern w:val="0"/>
                <w:szCs w:val="21"/>
              </w:rPr>
              <w:t>法人或其他组织</w:t>
            </w:r>
          </w:p>
        </w:tc>
        <w:tc>
          <w:tcPr>
            <w:tcW w:w="701" w:type="dxa"/>
            <w:vMerge w:val="restart"/>
            <w:noWrap w:val="0"/>
            <w:tcMar>
              <w:left w:w="108" w:type="dxa"/>
              <w:right w:w="108" w:type="dxa"/>
            </w:tcMar>
            <w:vAlign w:val="center"/>
          </w:tcPr>
          <w:p w14:paraId="64C09D28">
            <w:pPr>
              <w:widowControl/>
              <w:jc w:val="center"/>
              <w:rPr>
                <w:rFonts w:ascii="黑体" w:hAnsi="黑体" w:eastAsia="黑体"/>
                <w:color w:val="auto"/>
                <w:szCs w:val="21"/>
              </w:rPr>
            </w:pPr>
            <w:r>
              <w:rPr>
                <w:rFonts w:hint="eastAsia" w:ascii="黑体" w:hAnsi="黑体" w:eastAsia="黑体"/>
                <w:color w:val="auto"/>
                <w:kern w:val="0"/>
                <w:szCs w:val="21"/>
              </w:rPr>
              <w:t>总计</w:t>
            </w:r>
          </w:p>
        </w:tc>
      </w:tr>
      <w:tr w14:paraId="51370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noWrap w:val="0"/>
            <w:tcMar>
              <w:left w:w="108" w:type="dxa"/>
              <w:right w:w="108" w:type="dxa"/>
            </w:tcMar>
            <w:vAlign w:val="center"/>
          </w:tcPr>
          <w:p w14:paraId="2314A4E5">
            <w:pPr>
              <w:jc w:val="center"/>
              <w:rPr>
                <w:rFonts w:ascii="仿宋_GB2312" w:eastAsia="仿宋_GB2312"/>
                <w:color w:val="auto"/>
                <w:szCs w:val="21"/>
              </w:rPr>
            </w:pPr>
          </w:p>
        </w:tc>
        <w:tc>
          <w:tcPr>
            <w:tcW w:w="752" w:type="dxa"/>
            <w:vMerge w:val="continue"/>
            <w:noWrap w:val="0"/>
            <w:tcMar>
              <w:left w:w="108" w:type="dxa"/>
              <w:right w:w="108" w:type="dxa"/>
            </w:tcMar>
            <w:vAlign w:val="center"/>
          </w:tcPr>
          <w:p w14:paraId="164DB99C">
            <w:pPr>
              <w:jc w:val="center"/>
              <w:rPr>
                <w:rFonts w:ascii="黑体" w:hAnsi="黑体" w:eastAsia="黑体"/>
                <w:color w:val="auto"/>
                <w:szCs w:val="21"/>
              </w:rPr>
            </w:pPr>
          </w:p>
        </w:tc>
        <w:tc>
          <w:tcPr>
            <w:tcW w:w="540" w:type="dxa"/>
            <w:noWrap w:val="0"/>
            <w:tcMar>
              <w:left w:w="108" w:type="dxa"/>
              <w:right w:w="108" w:type="dxa"/>
            </w:tcMar>
            <w:vAlign w:val="center"/>
          </w:tcPr>
          <w:p w14:paraId="55539AC6">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商业企业</w:t>
            </w:r>
          </w:p>
        </w:tc>
        <w:tc>
          <w:tcPr>
            <w:tcW w:w="540" w:type="dxa"/>
            <w:noWrap w:val="0"/>
            <w:tcMar>
              <w:left w:w="108" w:type="dxa"/>
              <w:right w:w="108" w:type="dxa"/>
            </w:tcMar>
            <w:vAlign w:val="center"/>
          </w:tcPr>
          <w:p w14:paraId="3F36F136">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科研机构</w:t>
            </w:r>
          </w:p>
        </w:tc>
        <w:tc>
          <w:tcPr>
            <w:tcW w:w="720" w:type="dxa"/>
            <w:noWrap w:val="0"/>
            <w:tcMar>
              <w:left w:w="108" w:type="dxa"/>
              <w:right w:w="108" w:type="dxa"/>
            </w:tcMar>
            <w:vAlign w:val="center"/>
          </w:tcPr>
          <w:p w14:paraId="2B42C22D">
            <w:pPr>
              <w:widowControl/>
              <w:spacing w:line="320" w:lineRule="exact"/>
              <w:ind w:left="-107" w:leftChars="-51" w:right="-107" w:rightChars="-51"/>
              <w:jc w:val="center"/>
              <w:rPr>
                <w:rFonts w:ascii="黑体" w:hAnsi="黑体" w:eastAsia="黑体"/>
                <w:color w:val="auto"/>
                <w:szCs w:val="21"/>
              </w:rPr>
            </w:pPr>
            <w:r>
              <w:rPr>
                <w:rFonts w:hint="eastAsia" w:ascii="黑体" w:hAnsi="黑体" w:eastAsia="黑体"/>
                <w:color w:val="auto"/>
                <w:kern w:val="0"/>
                <w:szCs w:val="21"/>
              </w:rPr>
              <w:t>社会公益组织</w:t>
            </w:r>
          </w:p>
        </w:tc>
        <w:tc>
          <w:tcPr>
            <w:tcW w:w="675" w:type="dxa"/>
            <w:noWrap w:val="0"/>
            <w:tcMar>
              <w:left w:w="108" w:type="dxa"/>
              <w:right w:w="108" w:type="dxa"/>
            </w:tcMar>
            <w:vAlign w:val="center"/>
          </w:tcPr>
          <w:p w14:paraId="353B6E24">
            <w:pPr>
              <w:widowControl/>
              <w:spacing w:line="320" w:lineRule="exact"/>
              <w:ind w:left="-106" w:leftChars="-51" w:right="-107" w:rightChars="-51" w:hanging="1"/>
              <w:jc w:val="center"/>
              <w:rPr>
                <w:rFonts w:ascii="黑体" w:hAnsi="黑体" w:eastAsia="黑体"/>
                <w:color w:val="auto"/>
                <w:szCs w:val="21"/>
              </w:rPr>
            </w:pPr>
            <w:r>
              <w:rPr>
                <w:rFonts w:hint="eastAsia" w:ascii="黑体" w:hAnsi="黑体" w:eastAsia="黑体"/>
                <w:color w:val="auto"/>
                <w:kern w:val="0"/>
                <w:szCs w:val="21"/>
              </w:rPr>
              <w:t>法律服务机构</w:t>
            </w:r>
          </w:p>
        </w:tc>
        <w:tc>
          <w:tcPr>
            <w:tcW w:w="526" w:type="dxa"/>
            <w:noWrap w:val="0"/>
            <w:tcMar>
              <w:left w:w="108" w:type="dxa"/>
              <w:right w:w="108" w:type="dxa"/>
            </w:tcMar>
            <w:vAlign w:val="center"/>
          </w:tcPr>
          <w:p w14:paraId="0B3E2EDC">
            <w:pPr>
              <w:widowControl/>
              <w:spacing w:line="360" w:lineRule="exact"/>
              <w:ind w:left="-63" w:leftChars="-30" w:right="-134" w:rightChars="-64"/>
              <w:jc w:val="center"/>
              <w:rPr>
                <w:rFonts w:ascii="黑体" w:hAnsi="黑体" w:eastAsia="黑体"/>
                <w:color w:val="auto"/>
                <w:szCs w:val="21"/>
              </w:rPr>
            </w:pPr>
            <w:r>
              <w:rPr>
                <w:rFonts w:hint="eastAsia" w:ascii="黑体" w:hAnsi="黑体" w:eastAsia="黑体"/>
                <w:color w:val="auto"/>
                <w:kern w:val="0"/>
                <w:szCs w:val="21"/>
              </w:rPr>
              <w:t>其他</w:t>
            </w:r>
          </w:p>
        </w:tc>
        <w:tc>
          <w:tcPr>
            <w:tcW w:w="701" w:type="dxa"/>
            <w:vMerge w:val="continue"/>
            <w:noWrap w:val="0"/>
            <w:tcMar>
              <w:left w:w="108" w:type="dxa"/>
              <w:right w:w="108" w:type="dxa"/>
            </w:tcMar>
            <w:vAlign w:val="center"/>
          </w:tcPr>
          <w:p w14:paraId="5E904E29">
            <w:pPr>
              <w:jc w:val="center"/>
              <w:rPr>
                <w:rFonts w:ascii="仿宋_GB2312" w:eastAsia="仿宋_GB2312"/>
                <w:color w:val="auto"/>
                <w:szCs w:val="21"/>
              </w:rPr>
            </w:pPr>
          </w:p>
        </w:tc>
      </w:tr>
      <w:tr w14:paraId="3A1F3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noWrap w:val="0"/>
            <w:tcMar>
              <w:left w:w="108" w:type="dxa"/>
              <w:right w:w="108" w:type="dxa"/>
            </w:tcMar>
            <w:vAlign w:val="center"/>
          </w:tcPr>
          <w:p w14:paraId="4A9EDFBE">
            <w:pPr>
              <w:widowControl/>
              <w:rPr>
                <w:rFonts w:ascii="黑体" w:hAnsi="黑体" w:eastAsia="黑体"/>
                <w:color w:val="auto"/>
                <w:szCs w:val="21"/>
              </w:rPr>
            </w:pPr>
            <w:r>
              <w:rPr>
                <w:rFonts w:hint="eastAsia" w:ascii="黑体" w:hAnsi="黑体" w:eastAsia="黑体"/>
                <w:color w:val="auto"/>
                <w:kern w:val="0"/>
                <w:szCs w:val="21"/>
              </w:rPr>
              <w:t>一、</w:t>
            </w:r>
            <w:bookmarkStart w:id="0" w:name="_Hlk66973412"/>
            <w:r>
              <w:rPr>
                <w:rFonts w:hint="eastAsia" w:ascii="黑体" w:hAnsi="黑体" w:eastAsia="黑体"/>
                <w:color w:val="auto"/>
                <w:kern w:val="0"/>
                <w:szCs w:val="21"/>
              </w:rPr>
              <w:t>本年新收政府信息公开申请数量</w:t>
            </w:r>
            <w:bookmarkEnd w:id="0"/>
          </w:p>
        </w:tc>
        <w:tc>
          <w:tcPr>
            <w:tcW w:w="752" w:type="dxa"/>
            <w:noWrap w:val="0"/>
            <w:tcMar>
              <w:left w:w="108" w:type="dxa"/>
              <w:right w:w="108" w:type="dxa"/>
            </w:tcMar>
            <w:vAlign w:val="center"/>
          </w:tcPr>
          <w:p w14:paraId="0716A895">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1</w:t>
            </w:r>
          </w:p>
        </w:tc>
        <w:tc>
          <w:tcPr>
            <w:tcW w:w="540" w:type="dxa"/>
            <w:noWrap w:val="0"/>
            <w:tcMar>
              <w:left w:w="108" w:type="dxa"/>
              <w:right w:w="108" w:type="dxa"/>
            </w:tcMar>
            <w:vAlign w:val="center"/>
          </w:tcPr>
          <w:p w14:paraId="47DC9A3E">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noWrap w:val="0"/>
            <w:tcMar>
              <w:left w:w="108" w:type="dxa"/>
              <w:right w:w="108" w:type="dxa"/>
            </w:tcMar>
            <w:vAlign w:val="center"/>
          </w:tcPr>
          <w:p w14:paraId="1E264B22">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720" w:type="dxa"/>
            <w:noWrap w:val="0"/>
            <w:tcMar>
              <w:left w:w="108" w:type="dxa"/>
              <w:right w:w="108" w:type="dxa"/>
            </w:tcMar>
            <w:vAlign w:val="center"/>
          </w:tcPr>
          <w:p w14:paraId="0A06FC78">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675" w:type="dxa"/>
            <w:noWrap w:val="0"/>
            <w:tcMar>
              <w:left w:w="108" w:type="dxa"/>
              <w:right w:w="108" w:type="dxa"/>
            </w:tcMar>
            <w:vAlign w:val="center"/>
          </w:tcPr>
          <w:p w14:paraId="6A79EABF">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26" w:type="dxa"/>
            <w:noWrap w:val="0"/>
            <w:tcMar>
              <w:left w:w="108" w:type="dxa"/>
              <w:right w:w="108" w:type="dxa"/>
            </w:tcMar>
            <w:vAlign w:val="center"/>
          </w:tcPr>
          <w:p w14:paraId="559D8599">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701" w:type="dxa"/>
            <w:noWrap w:val="0"/>
            <w:tcMar>
              <w:left w:w="108" w:type="dxa"/>
              <w:right w:w="108" w:type="dxa"/>
            </w:tcMar>
            <w:vAlign w:val="center"/>
          </w:tcPr>
          <w:p w14:paraId="46A58D94">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1</w:t>
            </w:r>
          </w:p>
        </w:tc>
      </w:tr>
      <w:tr w14:paraId="267E9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noWrap w:val="0"/>
            <w:tcMar>
              <w:left w:w="108" w:type="dxa"/>
              <w:right w:w="108" w:type="dxa"/>
            </w:tcMar>
            <w:vAlign w:val="center"/>
          </w:tcPr>
          <w:p w14:paraId="75581F70">
            <w:pPr>
              <w:widowControl/>
              <w:rPr>
                <w:rFonts w:ascii="黑体" w:hAnsi="黑体" w:eastAsia="黑体"/>
                <w:color w:val="auto"/>
                <w:szCs w:val="21"/>
              </w:rPr>
            </w:pPr>
            <w:r>
              <w:rPr>
                <w:rFonts w:hint="eastAsia" w:ascii="黑体" w:hAnsi="黑体" w:eastAsia="黑体"/>
                <w:color w:val="auto"/>
                <w:kern w:val="0"/>
                <w:szCs w:val="21"/>
              </w:rPr>
              <w:t>二、上年结转政府信息公开申请数量</w:t>
            </w:r>
          </w:p>
        </w:tc>
        <w:tc>
          <w:tcPr>
            <w:tcW w:w="752" w:type="dxa"/>
            <w:noWrap w:val="0"/>
            <w:tcMar>
              <w:left w:w="108" w:type="dxa"/>
              <w:right w:w="108" w:type="dxa"/>
            </w:tcMar>
            <w:vAlign w:val="center"/>
          </w:tcPr>
          <w:p w14:paraId="1040267A">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noWrap w:val="0"/>
            <w:tcMar>
              <w:left w:w="108" w:type="dxa"/>
              <w:right w:w="108" w:type="dxa"/>
            </w:tcMar>
            <w:vAlign w:val="center"/>
          </w:tcPr>
          <w:p w14:paraId="34B25FFF">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noWrap w:val="0"/>
            <w:tcMar>
              <w:left w:w="108" w:type="dxa"/>
              <w:right w:w="108" w:type="dxa"/>
            </w:tcMar>
            <w:vAlign w:val="center"/>
          </w:tcPr>
          <w:p w14:paraId="407A5B51">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720" w:type="dxa"/>
            <w:noWrap w:val="0"/>
            <w:tcMar>
              <w:left w:w="108" w:type="dxa"/>
              <w:right w:w="108" w:type="dxa"/>
            </w:tcMar>
            <w:vAlign w:val="center"/>
          </w:tcPr>
          <w:p w14:paraId="3C0E85B5">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675" w:type="dxa"/>
            <w:noWrap w:val="0"/>
            <w:tcMar>
              <w:left w:w="108" w:type="dxa"/>
              <w:right w:w="108" w:type="dxa"/>
            </w:tcMar>
            <w:vAlign w:val="center"/>
          </w:tcPr>
          <w:p w14:paraId="7191A753">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26" w:type="dxa"/>
            <w:noWrap w:val="0"/>
            <w:tcMar>
              <w:left w:w="108" w:type="dxa"/>
              <w:right w:w="108" w:type="dxa"/>
            </w:tcMar>
            <w:vAlign w:val="center"/>
          </w:tcPr>
          <w:p w14:paraId="70D78AB4">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701" w:type="dxa"/>
            <w:noWrap w:val="0"/>
            <w:tcMar>
              <w:left w:w="108" w:type="dxa"/>
              <w:right w:w="108" w:type="dxa"/>
            </w:tcMar>
            <w:vAlign w:val="center"/>
          </w:tcPr>
          <w:p w14:paraId="5A5D5670">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r>
      <w:tr w14:paraId="4026C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noWrap w:val="0"/>
            <w:tcMar>
              <w:left w:w="108" w:type="dxa"/>
              <w:right w:w="108" w:type="dxa"/>
            </w:tcMar>
            <w:vAlign w:val="center"/>
          </w:tcPr>
          <w:p w14:paraId="176DFB0E">
            <w:pPr>
              <w:widowControl/>
              <w:spacing w:after="180"/>
              <w:rPr>
                <w:rFonts w:ascii="黑体" w:hAnsi="黑体" w:eastAsia="黑体"/>
                <w:color w:val="auto"/>
                <w:szCs w:val="21"/>
              </w:rPr>
            </w:pPr>
            <w:r>
              <w:rPr>
                <w:rFonts w:hint="eastAsia" w:ascii="黑体" w:hAnsi="黑体" w:eastAsia="黑体"/>
                <w:color w:val="auto"/>
                <w:kern w:val="0"/>
                <w:szCs w:val="21"/>
              </w:rPr>
              <w:t>三、本年度办理结果</w:t>
            </w:r>
          </w:p>
        </w:tc>
        <w:tc>
          <w:tcPr>
            <w:tcW w:w="4672" w:type="dxa"/>
            <w:gridSpan w:val="2"/>
            <w:noWrap w:val="0"/>
            <w:tcMar>
              <w:left w:w="108" w:type="dxa"/>
              <w:right w:w="108" w:type="dxa"/>
            </w:tcMar>
            <w:vAlign w:val="center"/>
          </w:tcPr>
          <w:p w14:paraId="1848EAB7">
            <w:pPr>
              <w:widowControl/>
              <w:rPr>
                <w:rFonts w:ascii="黑体" w:hAnsi="黑体" w:eastAsia="黑体"/>
                <w:color w:val="auto"/>
                <w:szCs w:val="21"/>
              </w:rPr>
            </w:pPr>
            <w:r>
              <w:rPr>
                <w:rFonts w:hint="eastAsia" w:ascii="黑体" w:hAnsi="黑体" w:eastAsia="黑体"/>
                <w:color w:val="auto"/>
                <w:kern w:val="0"/>
                <w:szCs w:val="21"/>
              </w:rPr>
              <w:t>（一）予以公开</w:t>
            </w:r>
          </w:p>
        </w:tc>
        <w:tc>
          <w:tcPr>
            <w:tcW w:w="752" w:type="dxa"/>
            <w:noWrap w:val="0"/>
            <w:tcMar>
              <w:left w:w="108" w:type="dxa"/>
              <w:right w:w="108" w:type="dxa"/>
            </w:tcMar>
            <w:vAlign w:val="center"/>
          </w:tcPr>
          <w:p w14:paraId="58659516">
            <w:pPr>
              <w:widowControl/>
              <w:spacing w:line="240" w:lineRule="exact"/>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1</w:t>
            </w:r>
          </w:p>
        </w:tc>
        <w:tc>
          <w:tcPr>
            <w:tcW w:w="540" w:type="dxa"/>
            <w:noWrap w:val="0"/>
            <w:tcMar>
              <w:left w:w="108" w:type="dxa"/>
              <w:right w:w="108" w:type="dxa"/>
            </w:tcMar>
            <w:vAlign w:val="center"/>
          </w:tcPr>
          <w:p w14:paraId="347BEB5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1BE43E0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3FF123F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1158DA8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644A0EF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7388984A">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1</w:t>
            </w:r>
          </w:p>
        </w:tc>
      </w:tr>
      <w:tr w14:paraId="12239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noWrap w:val="0"/>
            <w:tcMar>
              <w:left w:w="108" w:type="dxa"/>
              <w:right w:w="108" w:type="dxa"/>
            </w:tcMar>
            <w:vAlign w:val="center"/>
          </w:tcPr>
          <w:p w14:paraId="22006804">
            <w:pPr>
              <w:rPr>
                <w:rFonts w:ascii="黑体" w:hAnsi="黑体" w:eastAsia="黑体"/>
                <w:color w:val="auto"/>
                <w:szCs w:val="21"/>
              </w:rPr>
            </w:pPr>
          </w:p>
        </w:tc>
        <w:tc>
          <w:tcPr>
            <w:tcW w:w="4672" w:type="dxa"/>
            <w:gridSpan w:val="2"/>
            <w:noWrap w:val="0"/>
            <w:tcMar>
              <w:left w:w="108" w:type="dxa"/>
              <w:right w:w="108" w:type="dxa"/>
            </w:tcMar>
            <w:vAlign w:val="center"/>
          </w:tcPr>
          <w:p w14:paraId="678D9941">
            <w:pPr>
              <w:widowControl/>
              <w:rPr>
                <w:rFonts w:ascii="黑体" w:hAnsi="黑体" w:eastAsia="黑体"/>
                <w:color w:val="auto"/>
                <w:szCs w:val="21"/>
              </w:rPr>
            </w:pPr>
            <w:r>
              <w:rPr>
                <w:rFonts w:hint="eastAsia" w:ascii="黑体" w:hAnsi="黑体" w:eastAsia="黑体"/>
                <w:color w:val="auto"/>
                <w:kern w:val="0"/>
                <w:szCs w:val="21"/>
              </w:rPr>
              <w:t>（二）部分公开（</w:t>
            </w:r>
            <w:bookmarkStart w:id="1" w:name="_Hlk66973981"/>
            <w:r>
              <w:rPr>
                <w:rFonts w:hint="eastAsia" w:ascii="黑体" w:hAnsi="黑体" w:eastAsia="黑体"/>
                <w:color w:val="auto"/>
                <w:kern w:val="0"/>
                <w:szCs w:val="21"/>
              </w:rPr>
              <w:t>区分处理的，只计这一情形，不计其他情形</w:t>
            </w:r>
            <w:bookmarkEnd w:id="1"/>
            <w:r>
              <w:rPr>
                <w:rFonts w:hint="eastAsia" w:ascii="黑体" w:hAnsi="黑体" w:eastAsia="黑体"/>
                <w:color w:val="auto"/>
                <w:kern w:val="0"/>
                <w:szCs w:val="21"/>
              </w:rPr>
              <w:t>）</w:t>
            </w:r>
          </w:p>
        </w:tc>
        <w:tc>
          <w:tcPr>
            <w:tcW w:w="752" w:type="dxa"/>
            <w:noWrap w:val="0"/>
            <w:tcMar>
              <w:left w:w="108" w:type="dxa"/>
              <w:right w:w="108" w:type="dxa"/>
            </w:tcMar>
            <w:vAlign w:val="center"/>
          </w:tcPr>
          <w:p w14:paraId="2A9D28B7">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noWrap w:val="0"/>
            <w:tcMar>
              <w:left w:w="108" w:type="dxa"/>
              <w:right w:w="108" w:type="dxa"/>
            </w:tcMar>
            <w:vAlign w:val="center"/>
          </w:tcPr>
          <w:p w14:paraId="437D830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55259ED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255CDF8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5143020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3E15642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304DA9CA">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r>
      <w:tr w14:paraId="5F752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exact"/>
          <w:jc w:val="center"/>
        </w:trPr>
        <w:tc>
          <w:tcPr>
            <w:tcW w:w="415" w:type="dxa"/>
            <w:vMerge w:val="continue"/>
            <w:noWrap w:val="0"/>
            <w:tcMar>
              <w:left w:w="108" w:type="dxa"/>
              <w:right w:w="108" w:type="dxa"/>
            </w:tcMar>
            <w:vAlign w:val="center"/>
          </w:tcPr>
          <w:p w14:paraId="26C492CF">
            <w:pPr>
              <w:rPr>
                <w:rFonts w:ascii="黑体" w:hAnsi="黑体" w:eastAsia="黑体"/>
                <w:color w:val="auto"/>
                <w:szCs w:val="21"/>
              </w:rPr>
            </w:pPr>
          </w:p>
        </w:tc>
        <w:tc>
          <w:tcPr>
            <w:tcW w:w="1699" w:type="dxa"/>
            <w:vMerge w:val="restart"/>
            <w:noWrap w:val="0"/>
            <w:tcMar>
              <w:left w:w="108" w:type="dxa"/>
              <w:right w:w="108" w:type="dxa"/>
            </w:tcMar>
            <w:vAlign w:val="center"/>
          </w:tcPr>
          <w:p w14:paraId="4AE00AA6">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（三）不予公开</w:t>
            </w:r>
          </w:p>
        </w:tc>
        <w:tc>
          <w:tcPr>
            <w:tcW w:w="2973" w:type="dxa"/>
            <w:noWrap w:val="0"/>
            <w:tcMar>
              <w:left w:w="108" w:type="dxa"/>
              <w:right w:w="108" w:type="dxa"/>
            </w:tcMar>
            <w:vAlign w:val="center"/>
          </w:tcPr>
          <w:p w14:paraId="21F25E4B">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752" w:type="dxa"/>
            <w:noWrap w:val="0"/>
            <w:tcMar>
              <w:left w:w="108" w:type="dxa"/>
              <w:right w:w="108" w:type="dxa"/>
            </w:tcMar>
            <w:vAlign w:val="center"/>
          </w:tcPr>
          <w:p w14:paraId="7DC6EEF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6B51CB5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455AB04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3BFBC61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11CAA50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256FCF2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1A4433D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41C5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noWrap w:val="0"/>
            <w:tcMar>
              <w:left w:w="108" w:type="dxa"/>
              <w:right w:w="108" w:type="dxa"/>
            </w:tcMar>
            <w:vAlign w:val="center"/>
          </w:tcPr>
          <w:p w14:paraId="3E0B2100">
            <w:pPr>
              <w:rPr>
                <w:rFonts w:ascii="黑体" w:hAnsi="黑体" w:eastAsia="黑体"/>
                <w:color w:val="auto"/>
                <w:szCs w:val="21"/>
              </w:rPr>
            </w:pPr>
          </w:p>
        </w:tc>
        <w:tc>
          <w:tcPr>
            <w:tcW w:w="1699" w:type="dxa"/>
            <w:vMerge w:val="continue"/>
            <w:noWrap w:val="0"/>
            <w:tcMar>
              <w:left w:w="108" w:type="dxa"/>
              <w:right w:w="108" w:type="dxa"/>
            </w:tcMar>
            <w:vAlign w:val="center"/>
          </w:tcPr>
          <w:p w14:paraId="2A801758">
            <w:pPr>
              <w:spacing w:line="200" w:lineRule="exact"/>
              <w:rPr>
                <w:rFonts w:ascii="黑体" w:hAnsi="黑体" w:eastAsia="黑体"/>
                <w:color w:val="auto"/>
                <w:szCs w:val="21"/>
              </w:rPr>
            </w:pPr>
          </w:p>
        </w:tc>
        <w:tc>
          <w:tcPr>
            <w:tcW w:w="2973" w:type="dxa"/>
            <w:noWrap w:val="0"/>
            <w:tcMar>
              <w:left w:w="108" w:type="dxa"/>
              <w:right w:w="108" w:type="dxa"/>
            </w:tcMar>
            <w:vAlign w:val="center"/>
          </w:tcPr>
          <w:p w14:paraId="671B862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2" w:name="_Hlk66974104"/>
            <w:r>
              <w:rPr>
                <w:rFonts w:hint="eastAsia" w:ascii="仿宋_GB2312" w:hAnsi="黑体" w:eastAsia="仿宋_GB2312"/>
                <w:color w:val="auto"/>
                <w:kern w:val="0"/>
                <w:szCs w:val="21"/>
              </w:rPr>
              <w:t>其他法律行政法规禁止公开</w:t>
            </w:r>
            <w:bookmarkEnd w:id="2"/>
          </w:p>
        </w:tc>
        <w:tc>
          <w:tcPr>
            <w:tcW w:w="752" w:type="dxa"/>
            <w:noWrap w:val="0"/>
            <w:tcMar>
              <w:left w:w="108" w:type="dxa"/>
              <w:right w:w="108" w:type="dxa"/>
            </w:tcMar>
            <w:vAlign w:val="center"/>
          </w:tcPr>
          <w:p w14:paraId="2A769A4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38DEE3C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60C9067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3670CAE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2F91D26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064E4C7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512CF3C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7419B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exact"/>
          <w:jc w:val="center"/>
        </w:trPr>
        <w:tc>
          <w:tcPr>
            <w:tcW w:w="415" w:type="dxa"/>
            <w:vMerge w:val="continue"/>
            <w:noWrap w:val="0"/>
            <w:tcMar>
              <w:left w:w="108" w:type="dxa"/>
              <w:right w:w="108" w:type="dxa"/>
            </w:tcMar>
            <w:vAlign w:val="center"/>
          </w:tcPr>
          <w:p w14:paraId="32436CD0">
            <w:pPr>
              <w:rPr>
                <w:rFonts w:ascii="黑体" w:hAnsi="黑体" w:eastAsia="黑体"/>
                <w:color w:val="auto"/>
                <w:szCs w:val="21"/>
              </w:rPr>
            </w:pPr>
          </w:p>
        </w:tc>
        <w:tc>
          <w:tcPr>
            <w:tcW w:w="1699" w:type="dxa"/>
            <w:vMerge w:val="continue"/>
            <w:noWrap w:val="0"/>
            <w:tcMar>
              <w:left w:w="108" w:type="dxa"/>
              <w:right w:w="108" w:type="dxa"/>
            </w:tcMar>
            <w:vAlign w:val="center"/>
          </w:tcPr>
          <w:p w14:paraId="472AAF54">
            <w:pPr>
              <w:spacing w:line="200" w:lineRule="exact"/>
              <w:rPr>
                <w:rFonts w:ascii="黑体" w:hAnsi="黑体" w:eastAsia="黑体"/>
                <w:color w:val="auto"/>
                <w:szCs w:val="21"/>
              </w:rPr>
            </w:pPr>
          </w:p>
        </w:tc>
        <w:tc>
          <w:tcPr>
            <w:tcW w:w="2973" w:type="dxa"/>
            <w:noWrap w:val="0"/>
            <w:tcMar>
              <w:left w:w="108" w:type="dxa"/>
              <w:right w:w="108" w:type="dxa"/>
            </w:tcMar>
            <w:vAlign w:val="center"/>
          </w:tcPr>
          <w:p w14:paraId="366872B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752" w:type="dxa"/>
            <w:noWrap w:val="0"/>
            <w:tcMar>
              <w:left w:w="108" w:type="dxa"/>
              <w:right w:w="108" w:type="dxa"/>
            </w:tcMar>
            <w:vAlign w:val="center"/>
          </w:tcPr>
          <w:p w14:paraId="4C4DB8C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75FF68C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746B60F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214C24F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758E325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294A85C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656D983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789AD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noWrap w:val="0"/>
            <w:tcMar>
              <w:left w:w="108" w:type="dxa"/>
              <w:right w:w="108" w:type="dxa"/>
            </w:tcMar>
            <w:vAlign w:val="center"/>
          </w:tcPr>
          <w:p w14:paraId="4F556EEF">
            <w:pPr>
              <w:rPr>
                <w:rFonts w:ascii="黑体" w:hAnsi="黑体" w:eastAsia="黑体"/>
                <w:color w:val="auto"/>
                <w:szCs w:val="21"/>
              </w:rPr>
            </w:pPr>
          </w:p>
        </w:tc>
        <w:tc>
          <w:tcPr>
            <w:tcW w:w="1699" w:type="dxa"/>
            <w:vMerge w:val="continue"/>
            <w:noWrap w:val="0"/>
            <w:tcMar>
              <w:left w:w="108" w:type="dxa"/>
              <w:right w:w="108" w:type="dxa"/>
            </w:tcMar>
            <w:vAlign w:val="center"/>
          </w:tcPr>
          <w:p w14:paraId="576CE85D">
            <w:pPr>
              <w:spacing w:line="200" w:lineRule="exact"/>
              <w:rPr>
                <w:rFonts w:ascii="黑体" w:hAnsi="黑体" w:eastAsia="黑体"/>
                <w:color w:val="auto"/>
                <w:szCs w:val="21"/>
              </w:rPr>
            </w:pPr>
          </w:p>
        </w:tc>
        <w:tc>
          <w:tcPr>
            <w:tcW w:w="2973" w:type="dxa"/>
            <w:noWrap w:val="0"/>
            <w:tcMar>
              <w:left w:w="108" w:type="dxa"/>
              <w:right w:w="108" w:type="dxa"/>
            </w:tcMar>
            <w:vAlign w:val="center"/>
          </w:tcPr>
          <w:p w14:paraId="42DD43EB">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4.</w:t>
            </w:r>
            <w:bookmarkStart w:id="3" w:name="_Hlk66974290"/>
            <w:r>
              <w:rPr>
                <w:rFonts w:hint="eastAsia" w:ascii="仿宋_GB2312" w:hAnsi="黑体" w:eastAsia="仿宋_GB2312"/>
                <w:color w:val="auto"/>
                <w:kern w:val="0"/>
                <w:szCs w:val="21"/>
              </w:rPr>
              <w:t>保护第三方合法权益</w:t>
            </w:r>
            <w:bookmarkEnd w:id="3"/>
          </w:p>
        </w:tc>
        <w:tc>
          <w:tcPr>
            <w:tcW w:w="752" w:type="dxa"/>
            <w:noWrap w:val="0"/>
            <w:tcMar>
              <w:left w:w="108" w:type="dxa"/>
              <w:right w:w="108" w:type="dxa"/>
            </w:tcMar>
            <w:vAlign w:val="center"/>
          </w:tcPr>
          <w:p w14:paraId="5F506C7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0C2EDE3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1AF0F44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3B2D596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4A278FE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5E6BF6A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3F614A2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3E14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exact"/>
          <w:jc w:val="center"/>
        </w:trPr>
        <w:tc>
          <w:tcPr>
            <w:tcW w:w="415" w:type="dxa"/>
            <w:vMerge w:val="continue"/>
            <w:noWrap w:val="0"/>
            <w:tcMar>
              <w:left w:w="108" w:type="dxa"/>
              <w:right w:w="108" w:type="dxa"/>
            </w:tcMar>
            <w:vAlign w:val="center"/>
          </w:tcPr>
          <w:p w14:paraId="190239B0">
            <w:pPr>
              <w:rPr>
                <w:rFonts w:ascii="黑体" w:hAnsi="黑体" w:eastAsia="黑体"/>
                <w:color w:val="auto"/>
                <w:szCs w:val="21"/>
              </w:rPr>
            </w:pPr>
          </w:p>
        </w:tc>
        <w:tc>
          <w:tcPr>
            <w:tcW w:w="1699" w:type="dxa"/>
            <w:vMerge w:val="continue"/>
            <w:noWrap w:val="0"/>
            <w:tcMar>
              <w:left w:w="108" w:type="dxa"/>
              <w:right w:w="108" w:type="dxa"/>
            </w:tcMar>
            <w:vAlign w:val="center"/>
          </w:tcPr>
          <w:p w14:paraId="16A326CB">
            <w:pPr>
              <w:spacing w:line="200" w:lineRule="exact"/>
              <w:rPr>
                <w:rFonts w:ascii="黑体" w:hAnsi="黑体" w:eastAsia="黑体"/>
                <w:color w:val="auto"/>
                <w:szCs w:val="21"/>
              </w:rPr>
            </w:pPr>
          </w:p>
        </w:tc>
        <w:tc>
          <w:tcPr>
            <w:tcW w:w="2973" w:type="dxa"/>
            <w:noWrap w:val="0"/>
            <w:tcMar>
              <w:left w:w="108" w:type="dxa"/>
              <w:right w:w="108" w:type="dxa"/>
            </w:tcMar>
            <w:vAlign w:val="center"/>
          </w:tcPr>
          <w:p w14:paraId="0B93A5C9">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752" w:type="dxa"/>
            <w:noWrap w:val="0"/>
            <w:tcMar>
              <w:left w:w="108" w:type="dxa"/>
              <w:right w:w="108" w:type="dxa"/>
            </w:tcMar>
            <w:vAlign w:val="center"/>
          </w:tcPr>
          <w:p w14:paraId="5942FAF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294A53B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6FAC360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2DD4FFB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47E7AC8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2BB4184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65D428A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ABF1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noWrap w:val="0"/>
            <w:tcMar>
              <w:left w:w="108" w:type="dxa"/>
              <w:right w:w="108" w:type="dxa"/>
            </w:tcMar>
            <w:vAlign w:val="center"/>
          </w:tcPr>
          <w:p w14:paraId="30DCD002">
            <w:pPr>
              <w:rPr>
                <w:rFonts w:ascii="黑体" w:hAnsi="黑体" w:eastAsia="黑体"/>
                <w:color w:val="auto"/>
                <w:szCs w:val="21"/>
              </w:rPr>
            </w:pPr>
          </w:p>
        </w:tc>
        <w:tc>
          <w:tcPr>
            <w:tcW w:w="1699" w:type="dxa"/>
            <w:vMerge w:val="continue"/>
            <w:noWrap w:val="0"/>
            <w:tcMar>
              <w:left w:w="108" w:type="dxa"/>
              <w:right w:w="108" w:type="dxa"/>
            </w:tcMar>
            <w:vAlign w:val="center"/>
          </w:tcPr>
          <w:p w14:paraId="10D4BD7C">
            <w:pPr>
              <w:spacing w:line="200" w:lineRule="exact"/>
              <w:rPr>
                <w:rFonts w:ascii="黑体" w:hAnsi="黑体" w:eastAsia="黑体"/>
                <w:color w:val="auto"/>
                <w:szCs w:val="21"/>
              </w:rPr>
            </w:pPr>
          </w:p>
        </w:tc>
        <w:tc>
          <w:tcPr>
            <w:tcW w:w="2973" w:type="dxa"/>
            <w:noWrap w:val="0"/>
            <w:tcMar>
              <w:left w:w="108" w:type="dxa"/>
              <w:right w:w="108" w:type="dxa"/>
            </w:tcMar>
            <w:vAlign w:val="center"/>
          </w:tcPr>
          <w:p w14:paraId="7E567A3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6.</w:t>
            </w:r>
            <w:bookmarkStart w:id="4" w:name="_Hlk66974555"/>
            <w:r>
              <w:rPr>
                <w:rFonts w:hint="eastAsia" w:ascii="仿宋_GB2312" w:hAnsi="黑体" w:eastAsia="仿宋_GB2312"/>
                <w:color w:val="auto"/>
                <w:kern w:val="0"/>
                <w:szCs w:val="21"/>
              </w:rPr>
              <w:t>属于四类过程性信息</w:t>
            </w:r>
            <w:bookmarkEnd w:id="4"/>
          </w:p>
        </w:tc>
        <w:tc>
          <w:tcPr>
            <w:tcW w:w="752" w:type="dxa"/>
            <w:noWrap w:val="0"/>
            <w:tcMar>
              <w:left w:w="108" w:type="dxa"/>
              <w:right w:w="108" w:type="dxa"/>
            </w:tcMar>
            <w:vAlign w:val="center"/>
          </w:tcPr>
          <w:p w14:paraId="6C090A4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4FCD273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1A7B186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28AE3B3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3E737D1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3D46584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1F46045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F239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exact"/>
          <w:jc w:val="center"/>
        </w:trPr>
        <w:tc>
          <w:tcPr>
            <w:tcW w:w="415" w:type="dxa"/>
            <w:vMerge w:val="continue"/>
            <w:noWrap w:val="0"/>
            <w:tcMar>
              <w:left w:w="108" w:type="dxa"/>
              <w:right w:w="108" w:type="dxa"/>
            </w:tcMar>
            <w:vAlign w:val="center"/>
          </w:tcPr>
          <w:p w14:paraId="39E7FF6B">
            <w:pPr>
              <w:rPr>
                <w:rFonts w:ascii="黑体" w:hAnsi="黑体" w:eastAsia="黑体"/>
                <w:color w:val="auto"/>
                <w:szCs w:val="21"/>
              </w:rPr>
            </w:pPr>
          </w:p>
        </w:tc>
        <w:tc>
          <w:tcPr>
            <w:tcW w:w="1699" w:type="dxa"/>
            <w:vMerge w:val="continue"/>
            <w:noWrap w:val="0"/>
            <w:tcMar>
              <w:left w:w="108" w:type="dxa"/>
              <w:right w:w="108" w:type="dxa"/>
            </w:tcMar>
            <w:vAlign w:val="center"/>
          </w:tcPr>
          <w:p w14:paraId="11E32F83">
            <w:pPr>
              <w:spacing w:line="200" w:lineRule="exact"/>
              <w:rPr>
                <w:rFonts w:ascii="黑体" w:hAnsi="黑体" w:eastAsia="黑体"/>
                <w:color w:val="auto"/>
                <w:szCs w:val="21"/>
              </w:rPr>
            </w:pPr>
          </w:p>
        </w:tc>
        <w:tc>
          <w:tcPr>
            <w:tcW w:w="2973" w:type="dxa"/>
            <w:noWrap w:val="0"/>
            <w:tcMar>
              <w:left w:w="108" w:type="dxa"/>
              <w:right w:w="108" w:type="dxa"/>
            </w:tcMar>
            <w:vAlign w:val="center"/>
          </w:tcPr>
          <w:p w14:paraId="16AE7E74">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752" w:type="dxa"/>
            <w:noWrap w:val="0"/>
            <w:tcMar>
              <w:left w:w="108" w:type="dxa"/>
              <w:right w:w="108" w:type="dxa"/>
            </w:tcMar>
            <w:vAlign w:val="center"/>
          </w:tcPr>
          <w:p w14:paraId="7808BB5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769E4A8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7E5E5E8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23F4704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5991FA9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7A0FAC6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3A26A38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7E228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noWrap w:val="0"/>
            <w:tcMar>
              <w:left w:w="108" w:type="dxa"/>
              <w:right w:w="108" w:type="dxa"/>
            </w:tcMar>
            <w:vAlign w:val="center"/>
          </w:tcPr>
          <w:p w14:paraId="4D65ECA2">
            <w:pPr>
              <w:rPr>
                <w:rFonts w:ascii="黑体" w:hAnsi="黑体" w:eastAsia="黑体"/>
                <w:color w:val="auto"/>
                <w:szCs w:val="21"/>
              </w:rPr>
            </w:pPr>
          </w:p>
        </w:tc>
        <w:tc>
          <w:tcPr>
            <w:tcW w:w="1699" w:type="dxa"/>
            <w:vMerge w:val="continue"/>
            <w:noWrap w:val="0"/>
            <w:tcMar>
              <w:left w:w="108" w:type="dxa"/>
              <w:right w:w="108" w:type="dxa"/>
            </w:tcMar>
            <w:vAlign w:val="center"/>
          </w:tcPr>
          <w:p w14:paraId="7D973FFD">
            <w:pPr>
              <w:spacing w:line="200" w:lineRule="exact"/>
              <w:rPr>
                <w:rFonts w:ascii="黑体" w:hAnsi="黑体" w:eastAsia="黑体"/>
                <w:color w:val="auto"/>
                <w:szCs w:val="21"/>
              </w:rPr>
            </w:pPr>
          </w:p>
        </w:tc>
        <w:tc>
          <w:tcPr>
            <w:tcW w:w="2973" w:type="dxa"/>
            <w:noWrap w:val="0"/>
            <w:tcMar>
              <w:left w:w="108" w:type="dxa"/>
              <w:right w:w="108" w:type="dxa"/>
            </w:tcMar>
            <w:vAlign w:val="center"/>
          </w:tcPr>
          <w:p w14:paraId="41E93FF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8.</w:t>
            </w:r>
            <w:bookmarkStart w:id="5" w:name="_Hlk66975211"/>
            <w:r>
              <w:rPr>
                <w:rFonts w:hint="eastAsia" w:ascii="仿宋_GB2312" w:hAnsi="黑体" w:eastAsia="仿宋_GB2312"/>
                <w:color w:val="auto"/>
                <w:kern w:val="0"/>
                <w:szCs w:val="21"/>
              </w:rPr>
              <w:t>属于行政查询事项</w:t>
            </w:r>
            <w:bookmarkEnd w:id="5"/>
          </w:p>
        </w:tc>
        <w:tc>
          <w:tcPr>
            <w:tcW w:w="752" w:type="dxa"/>
            <w:noWrap w:val="0"/>
            <w:tcMar>
              <w:left w:w="108" w:type="dxa"/>
              <w:right w:w="108" w:type="dxa"/>
            </w:tcMar>
            <w:vAlign w:val="center"/>
          </w:tcPr>
          <w:p w14:paraId="47856A4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23E6EBB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0076D0E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7A28F0C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789B1EE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57ED5FB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5DECD4C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5ECF5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exact"/>
          <w:jc w:val="center"/>
        </w:trPr>
        <w:tc>
          <w:tcPr>
            <w:tcW w:w="415" w:type="dxa"/>
            <w:vMerge w:val="continue"/>
            <w:noWrap w:val="0"/>
            <w:tcMar>
              <w:left w:w="108" w:type="dxa"/>
              <w:right w:w="108" w:type="dxa"/>
            </w:tcMar>
            <w:vAlign w:val="center"/>
          </w:tcPr>
          <w:p w14:paraId="2F1034D5">
            <w:pPr>
              <w:rPr>
                <w:rFonts w:ascii="黑体" w:hAnsi="黑体" w:eastAsia="黑体"/>
                <w:color w:val="auto"/>
                <w:szCs w:val="21"/>
              </w:rPr>
            </w:pPr>
          </w:p>
        </w:tc>
        <w:tc>
          <w:tcPr>
            <w:tcW w:w="1699" w:type="dxa"/>
            <w:vMerge w:val="restart"/>
            <w:noWrap w:val="0"/>
            <w:tcMar>
              <w:left w:w="108" w:type="dxa"/>
              <w:right w:w="108" w:type="dxa"/>
            </w:tcMar>
            <w:vAlign w:val="center"/>
          </w:tcPr>
          <w:p w14:paraId="3A378212">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（四）无法提供</w:t>
            </w:r>
          </w:p>
        </w:tc>
        <w:tc>
          <w:tcPr>
            <w:tcW w:w="2973" w:type="dxa"/>
            <w:noWrap w:val="0"/>
            <w:tcMar>
              <w:left w:w="108" w:type="dxa"/>
              <w:right w:w="108" w:type="dxa"/>
            </w:tcMar>
            <w:vAlign w:val="center"/>
          </w:tcPr>
          <w:p w14:paraId="02535381">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752" w:type="dxa"/>
            <w:noWrap w:val="0"/>
            <w:tcMar>
              <w:left w:w="108" w:type="dxa"/>
              <w:right w:w="108" w:type="dxa"/>
            </w:tcMar>
            <w:vAlign w:val="center"/>
          </w:tcPr>
          <w:p w14:paraId="6490990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3575739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1696A39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49929C8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0A34F74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69D351A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7E60637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4531F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noWrap w:val="0"/>
            <w:tcMar>
              <w:left w:w="108" w:type="dxa"/>
              <w:right w:w="108" w:type="dxa"/>
            </w:tcMar>
            <w:vAlign w:val="center"/>
          </w:tcPr>
          <w:p w14:paraId="4E4F08B1">
            <w:pPr>
              <w:rPr>
                <w:rFonts w:ascii="黑体" w:hAnsi="黑体" w:eastAsia="黑体"/>
                <w:color w:val="auto"/>
                <w:szCs w:val="21"/>
              </w:rPr>
            </w:pPr>
          </w:p>
        </w:tc>
        <w:tc>
          <w:tcPr>
            <w:tcW w:w="1699" w:type="dxa"/>
            <w:vMerge w:val="continue"/>
            <w:noWrap w:val="0"/>
            <w:tcMar>
              <w:left w:w="108" w:type="dxa"/>
              <w:right w:w="108" w:type="dxa"/>
            </w:tcMar>
            <w:vAlign w:val="center"/>
          </w:tcPr>
          <w:p w14:paraId="316BD8C7">
            <w:pPr>
              <w:spacing w:line="200" w:lineRule="exact"/>
              <w:ind w:left="-107" w:leftChars="-51"/>
              <w:rPr>
                <w:rFonts w:ascii="黑体" w:hAnsi="黑体" w:eastAsia="黑体"/>
                <w:color w:val="auto"/>
                <w:szCs w:val="21"/>
              </w:rPr>
            </w:pPr>
          </w:p>
        </w:tc>
        <w:tc>
          <w:tcPr>
            <w:tcW w:w="2973" w:type="dxa"/>
            <w:noWrap w:val="0"/>
            <w:tcMar>
              <w:left w:w="108" w:type="dxa"/>
              <w:right w:w="108" w:type="dxa"/>
            </w:tcMar>
            <w:vAlign w:val="center"/>
          </w:tcPr>
          <w:p w14:paraId="60BD973E">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w:t>
            </w:r>
            <w:bookmarkStart w:id="6" w:name="_Hlk66975392"/>
            <w:r>
              <w:rPr>
                <w:rFonts w:hint="eastAsia" w:ascii="仿宋_GB2312" w:hAnsi="黑体" w:eastAsia="仿宋_GB2312"/>
                <w:color w:val="auto"/>
                <w:kern w:val="0"/>
                <w:szCs w:val="21"/>
              </w:rPr>
              <w:t>没有现成信息需要另行制作</w:t>
            </w:r>
            <w:bookmarkEnd w:id="6"/>
          </w:p>
        </w:tc>
        <w:tc>
          <w:tcPr>
            <w:tcW w:w="752" w:type="dxa"/>
            <w:noWrap w:val="0"/>
            <w:tcMar>
              <w:left w:w="108" w:type="dxa"/>
              <w:right w:w="108" w:type="dxa"/>
            </w:tcMar>
            <w:vAlign w:val="center"/>
          </w:tcPr>
          <w:p w14:paraId="7D7D32F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30053A3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6AC7612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7CD44B0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1A86CA4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328F41A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135C8B7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6BD2B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exact"/>
          <w:jc w:val="center"/>
        </w:trPr>
        <w:tc>
          <w:tcPr>
            <w:tcW w:w="415" w:type="dxa"/>
            <w:vMerge w:val="continue"/>
            <w:noWrap w:val="0"/>
            <w:tcMar>
              <w:left w:w="108" w:type="dxa"/>
              <w:right w:w="108" w:type="dxa"/>
            </w:tcMar>
            <w:vAlign w:val="center"/>
          </w:tcPr>
          <w:p w14:paraId="7AAE848C">
            <w:pPr>
              <w:rPr>
                <w:rFonts w:ascii="黑体" w:hAnsi="黑体" w:eastAsia="黑体"/>
                <w:color w:val="auto"/>
                <w:szCs w:val="21"/>
              </w:rPr>
            </w:pPr>
          </w:p>
        </w:tc>
        <w:tc>
          <w:tcPr>
            <w:tcW w:w="1699" w:type="dxa"/>
            <w:vMerge w:val="continue"/>
            <w:noWrap w:val="0"/>
            <w:tcMar>
              <w:left w:w="108" w:type="dxa"/>
              <w:right w:w="108" w:type="dxa"/>
            </w:tcMar>
            <w:vAlign w:val="center"/>
          </w:tcPr>
          <w:p w14:paraId="138F6365">
            <w:pPr>
              <w:spacing w:line="200" w:lineRule="exact"/>
              <w:ind w:left="-107" w:leftChars="-51"/>
              <w:rPr>
                <w:rFonts w:ascii="黑体" w:hAnsi="黑体" w:eastAsia="黑体"/>
                <w:color w:val="auto"/>
                <w:szCs w:val="21"/>
              </w:rPr>
            </w:pPr>
          </w:p>
        </w:tc>
        <w:tc>
          <w:tcPr>
            <w:tcW w:w="2973" w:type="dxa"/>
            <w:noWrap w:val="0"/>
            <w:tcMar>
              <w:left w:w="108" w:type="dxa"/>
              <w:right w:w="108" w:type="dxa"/>
            </w:tcMar>
            <w:vAlign w:val="center"/>
          </w:tcPr>
          <w:p w14:paraId="570D7AE7">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3.</w:t>
            </w:r>
            <w:bookmarkStart w:id="7" w:name="_Hlk66975466"/>
            <w:r>
              <w:rPr>
                <w:rFonts w:hint="eastAsia" w:ascii="仿宋_GB2312" w:hAnsi="黑体" w:eastAsia="仿宋_GB2312"/>
                <w:color w:val="auto"/>
                <w:kern w:val="0"/>
                <w:szCs w:val="21"/>
              </w:rPr>
              <w:t>补正后申请内容仍不明确</w:t>
            </w:r>
            <w:bookmarkEnd w:id="7"/>
          </w:p>
        </w:tc>
        <w:tc>
          <w:tcPr>
            <w:tcW w:w="752" w:type="dxa"/>
            <w:noWrap w:val="0"/>
            <w:tcMar>
              <w:left w:w="108" w:type="dxa"/>
              <w:right w:w="108" w:type="dxa"/>
            </w:tcMar>
            <w:vAlign w:val="center"/>
          </w:tcPr>
          <w:p w14:paraId="5B05192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549A762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1956B2F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051A2A9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677B8A3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1C45396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13AD002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1452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noWrap w:val="0"/>
            <w:tcMar>
              <w:left w:w="108" w:type="dxa"/>
              <w:right w:w="108" w:type="dxa"/>
            </w:tcMar>
            <w:vAlign w:val="center"/>
          </w:tcPr>
          <w:p w14:paraId="246D0AD3">
            <w:pPr>
              <w:rPr>
                <w:rFonts w:ascii="黑体" w:hAnsi="黑体" w:eastAsia="黑体"/>
                <w:color w:val="auto"/>
                <w:szCs w:val="21"/>
              </w:rPr>
            </w:pPr>
          </w:p>
        </w:tc>
        <w:tc>
          <w:tcPr>
            <w:tcW w:w="1699" w:type="dxa"/>
            <w:vMerge w:val="restart"/>
            <w:noWrap w:val="0"/>
            <w:tcMar>
              <w:left w:w="108" w:type="dxa"/>
              <w:right w:w="108" w:type="dxa"/>
            </w:tcMar>
            <w:vAlign w:val="center"/>
          </w:tcPr>
          <w:p w14:paraId="06D9F2BE">
            <w:pPr>
              <w:widowControl/>
              <w:spacing w:line="200" w:lineRule="exact"/>
              <w:ind w:left="-107" w:leftChars="-51"/>
              <w:rPr>
                <w:rFonts w:ascii="黑体" w:hAnsi="黑体" w:eastAsia="黑体"/>
                <w:color w:val="auto"/>
                <w:szCs w:val="21"/>
              </w:rPr>
            </w:pPr>
            <w:r>
              <w:rPr>
                <w:rFonts w:hint="eastAsia" w:ascii="黑体" w:hAnsi="黑体" w:eastAsia="黑体"/>
                <w:color w:val="auto"/>
                <w:kern w:val="0"/>
                <w:szCs w:val="21"/>
              </w:rPr>
              <w:t>（五）不予处理</w:t>
            </w:r>
          </w:p>
        </w:tc>
        <w:tc>
          <w:tcPr>
            <w:tcW w:w="2973" w:type="dxa"/>
            <w:noWrap w:val="0"/>
            <w:tcMar>
              <w:left w:w="108" w:type="dxa"/>
              <w:right w:w="108" w:type="dxa"/>
            </w:tcMar>
            <w:vAlign w:val="center"/>
          </w:tcPr>
          <w:p w14:paraId="58EF9A18">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1.</w:t>
            </w:r>
            <w:bookmarkStart w:id="8" w:name="_Hlk66975537"/>
            <w:r>
              <w:rPr>
                <w:rFonts w:hint="eastAsia" w:ascii="仿宋_GB2312" w:hAnsi="黑体" w:eastAsia="仿宋_GB2312"/>
                <w:color w:val="auto"/>
                <w:kern w:val="0"/>
                <w:szCs w:val="21"/>
              </w:rPr>
              <w:t>信访举报投诉类申请</w:t>
            </w:r>
            <w:bookmarkEnd w:id="8"/>
          </w:p>
        </w:tc>
        <w:tc>
          <w:tcPr>
            <w:tcW w:w="752" w:type="dxa"/>
            <w:noWrap w:val="0"/>
            <w:tcMar>
              <w:left w:w="108" w:type="dxa"/>
              <w:right w:w="108" w:type="dxa"/>
            </w:tcMar>
            <w:vAlign w:val="center"/>
          </w:tcPr>
          <w:p w14:paraId="7F0BAF7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7B68556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755E190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12D2CB4F">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2845239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7BF5E00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628701A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44E1A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exact"/>
          <w:jc w:val="center"/>
        </w:trPr>
        <w:tc>
          <w:tcPr>
            <w:tcW w:w="415" w:type="dxa"/>
            <w:vMerge w:val="continue"/>
            <w:noWrap w:val="0"/>
            <w:tcMar>
              <w:left w:w="108" w:type="dxa"/>
              <w:right w:w="108" w:type="dxa"/>
            </w:tcMar>
            <w:vAlign w:val="center"/>
          </w:tcPr>
          <w:p w14:paraId="17027727">
            <w:pPr>
              <w:rPr>
                <w:rFonts w:ascii="黑体" w:hAnsi="黑体" w:eastAsia="黑体"/>
                <w:color w:val="auto"/>
                <w:szCs w:val="21"/>
              </w:rPr>
            </w:pPr>
          </w:p>
        </w:tc>
        <w:tc>
          <w:tcPr>
            <w:tcW w:w="1699" w:type="dxa"/>
            <w:vMerge w:val="continue"/>
            <w:noWrap w:val="0"/>
            <w:tcMar>
              <w:left w:w="108" w:type="dxa"/>
              <w:right w:w="108" w:type="dxa"/>
            </w:tcMar>
            <w:vAlign w:val="center"/>
          </w:tcPr>
          <w:p w14:paraId="5B4B866D">
            <w:pPr>
              <w:spacing w:line="200" w:lineRule="exact"/>
              <w:rPr>
                <w:rFonts w:ascii="黑体" w:hAnsi="黑体" w:eastAsia="黑体"/>
                <w:color w:val="auto"/>
                <w:szCs w:val="21"/>
              </w:rPr>
            </w:pPr>
          </w:p>
        </w:tc>
        <w:tc>
          <w:tcPr>
            <w:tcW w:w="2973" w:type="dxa"/>
            <w:noWrap w:val="0"/>
            <w:tcMar>
              <w:left w:w="108" w:type="dxa"/>
              <w:right w:w="108" w:type="dxa"/>
            </w:tcMar>
            <w:vAlign w:val="center"/>
          </w:tcPr>
          <w:p w14:paraId="4CCBEFFC">
            <w:pPr>
              <w:widowControl/>
              <w:spacing w:line="200" w:lineRule="exact"/>
              <w:rPr>
                <w:rFonts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752" w:type="dxa"/>
            <w:noWrap w:val="0"/>
            <w:tcMar>
              <w:left w:w="108" w:type="dxa"/>
              <w:right w:w="108" w:type="dxa"/>
            </w:tcMar>
            <w:vAlign w:val="center"/>
          </w:tcPr>
          <w:p w14:paraId="027BEFA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2DBEA0A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42929C6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2C6DB32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496876A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06A2420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0FA68F7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9C38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noWrap w:val="0"/>
            <w:tcMar>
              <w:left w:w="108" w:type="dxa"/>
              <w:right w:w="108" w:type="dxa"/>
            </w:tcMar>
            <w:vAlign w:val="center"/>
          </w:tcPr>
          <w:p w14:paraId="72D48737">
            <w:pPr>
              <w:rPr>
                <w:rFonts w:ascii="黑体" w:hAnsi="黑体" w:eastAsia="黑体"/>
                <w:color w:val="auto"/>
                <w:szCs w:val="21"/>
              </w:rPr>
            </w:pPr>
          </w:p>
        </w:tc>
        <w:tc>
          <w:tcPr>
            <w:tcW w:w="1699" w:type="dxa"/>
            <w:vMerge w:val="continue"/>
            <w:noWrap w:val="0"/>
            <w:tcMar>
              <w:left w:w="108" w:type="dxa"/>
              <w:right w:w="108" w:type="dxa"/>
            </w:tcMar>
            <w:vAlign w:val="center"/>
          </w:tcPr>
          <w:p w14:paraId="6121A2B5">
            <w:pPr>
              <w:spacing w:line="200" w:lineRule="exact"/>
              <w:rPr>
                <w:rFonts w:ascii="黑体" w:hAnsi="黑体" w:eastAsia="黑体"/>
                <w:color w:val="auto"/>
                <w:szCs w:val="21"/>
              </w:rPr>
            </w:pPr>
          </w:p>
        </w:tc>
        <w:tc>
          <w:tcPr>
            <w:tcW w:w="2973" w:type="dxa"/>
            <w:noWrap w:val="0"/>
            <w:tcMar>
              <w:left w:w="108" w:type="dxa"/>
              <w:right w:w="108" w:type="dxa"/>
            </w:tcMar>
            <w:vAlign w:val="center"/>
          </w:tcPr>
          <w:p w14:paraId="04B6D720">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3.要求提供公开出版物</w:t>
            </w:r>
          </w:p>
        </w:tc>
        <w:tc>
          <w:tcPr>
            <w:tcW w:w="752" w:type="dxa"/>
            <w:noWrap w:val="0"/>
            <w:tcMar>
              <w:left w:w="108" w:type="dxa"/>
              <w:right w:w="108" w:type="dxa"/>
            </w:tcMar>
            <w:vAlign w:val="center"/>
          </w:tcPr>
          <w:p w14:paraId="543F1F4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2ED3813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5BDECF6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08604A3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6A46D5A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3D1BCB7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0DD0752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3E2E7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exact"/>
          <w:jc w:val="center"/>
        </w:trPr>
        <w:tc>
          <w:tcPr>
            <w:tcW w:w="415" w:type="dxa"/>
            <w:vMerge w:val="continue"/>
            <w:noWrap w:val="0"/>
            <w:tcMar>
              <w:left w:w="108" w:type="dxa"/>
              <w:right w:w="108" w:type="dxa"/>
            </w:tcMar>
            <w:vAlign w:val="center"/>
          </w:tcPr>
          <w:p w14:paraId="0BBB3999">
            <w:pPr>
              <w:rPr>
                <w:rFonts w:ascii="黑体" w:hAnsi="黑体" w:eastAsia="黑体"/>
                <w:color w:val="auto"/>
                <w:szCs w:val="21"/>
              </w:rPr>
            </w:pPr>
          </w:p>
        </w:tc>
        <w:tc>
          <w:tcPr>
            <w:tcW w:w="1699" w:type="dxa"/>
            <w:vMerge w:val="continue"/>
            <w:noWrap w:val="0"/>
            <w:tcMar>
              <w:left w:w="108" w:type="dxa"/>
              <w:right w:w="108" w:type="dxa"/>
            </w:tcMar>
            <w:vAlign w:val="center"/>
          </w:tcPr>
          <w:p w14:paraId="5426DC4E">
            <w:pPr>
              <w:spacing w:line="200" w:lineRule="exact"/>
              <w:rPr>
                <w:rFonts w:ascii="黑体" w:hAnsi="黑体" w:eastAsia="黑体"/>
                <w:color w:val="auto"/>
                <w:szCs w:val="21"/>
              </w:rPr>
            </w:pPr>
          </w:p>
        </w:tc>
        <w:tc>
          <w:tcPr>
            <w:tcW w:w="2973" w:type="dxa"/>
            <w:noWrap w:val="0"/>
            <w:tcMar>
              <w:left w:w="108" w:type="dxa"/>
              <w:right w:w="108" w:type="dxa"/>
            </w:tcMar>
            <w:vAlign w:val="center"/>
          </w:tcPr>
          <w:p w14:paraId="46FF6280">
            <w:pPr>
              <w:widowControl/>
              <w:spacing w:line="200" w:lineRule="exact"/>
              <w:rPr>
                <w:rFonts w:ascii="仿宋_GB2312" w:hAnsi="黑体" w:eastAsia="仿宋_GB2312"/>
                <w:color w:val="auto"/>
                <w:szCs w:val="21"/>
              </w:rPr>
            </w:pPr>
            <w:r>
              <w:rPr>
                <w:rFonts w:hint="eastAsia" w:ascii="仿宋_GB2312" w:hAnsi="黑体" w:eastAsia="仿宋_GB2312"/>
                <w:color w:val="auto"/>
                <w:kern w:val="0"/>
                <w:szCs w:val="21"/>
              </w:rPr>
              <w:t>4.无正当理由大量反复申请</w:t>
            </w:r>
          </w:p>
        </w:tc>
        <w:tc>
          <w:tcPr>
            <w:tcW w:w="752" w:type="dxa"/>
            <w:noWrap w:val="0"/>
            <w:tcMar>
              <w:left w:w="108" w:type="dxa"/>
              <w:right w:w="108" w:type="dxa"/>
            </w:tcMar>
            <w:vAlign w:val="center"/>
          </w:tcPr>
          <w:p w14:paraId="1D24A6C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3D1A486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0E5A8DF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00AE6D5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177C2E9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3646EC1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09C31D5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4F9C34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noWrap w:val="0"/>
            <w:tcMar>
              <w:left w:w="108" w:type="dxa"/>
              <w:right w:w="108" w:type="dxa"/>
            </w:tcMar>
            <w:vAlign w:val="center"/>
          </w:tcPr>
          <w:p w14:paraId="0152B40E">
            <w:pPr>
              <w:rPr>
                <w:rFonts w:ascii="黑体" w:hAnsi="黑体" w:eastAsia="黑体"/>
                <w:color w:val="auto"/>
                <w:szCs w:val="21"/>
              </w:rPr>
            </w:pPr>
          </w:p>
        </w:tc>
        <w:tc>
          <w:tcPr>
            <w:tcW w:w="1699" w:type="dxa"/>
            <w:vMerge w:val="continue"/>
            <w:noWrap w:val="0"/>
            <w:tcMar>
              <w:left w:w="108" w:type="dxa"/>
              <w:right w:w="108" w:type="dxa"/>
            </w:tcMar>
            <w:vAlign w:val="center"/>
          </w:tcPr>
          <w:p w14:paraId="482F6B8B">
            <w:pPr>
              <w:spacing w:line="200" w:lineRule="exact"/>
              <w:rPr>
                <w:rFonts w:ascii="黑体" w:hAnsi="黑体" w:eastAsia="黑体"/>
                <w:color w:val="auto"/>
                <w:szCs w:val="21"/>
              </w:rPr>
            </w:pPr>
          </w:p>
        </w:tc>
        <w:tc>
          <w:tcPr>
            <w:tcW w:w="2973" w:type="dxa"/>
            <w:noWrap w:val="0"/>
            <w:tcMar>
              <w:left w:w="108" w:type="dxa"/>
              <w:right w:w="108" w:type="dxa"/>
            </w:tcMar>
            <w:vAlign w:val="center"/>
          </w:tcPr>
          <w:p w14:paraId="57EAF376">
            <w:pPr>
              <w:widowControl/>
              <w:spacing w:line="300" w:lineRule="exact"/>
              <w:rPr>
                <w:rFonts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0DE4AA29">
            <w:pPr>
              <w:widowControl/>
              <w:spacing w:line="300" w:lineRule="exact"/>
              <w:ind w:firstLine="210" w:firstLineChars="100"/>
              <w:rPr>
                <w:rFonts w:ascii="仿宋_GB2312" w:hAnsi="黑体" w:eastAsia="仿宋_GB2312"/>
                <w:color w:val="auto"/>
                <w:szCs w:val="21"/>
              </w:rPr>
            </w:pPr>
            <w:r>
              <w:rPr>
                <w:rFonts w:hint="eastAsia" w:ascii="仿宋_GB2312" w:hAnsi="黑体" w:eastAsia="仿宋_GB2312"/>
                <w:color w:val="auto"/>
                <w:kern w:val="0"/>
                <w:szCs w:val="21"/>
              </w:rPr>
              <w:t>出具已获取信息</w:t>
            </w:r>
          </w:p>
        </w:tc>
        <w:tc>
          <w:tcPr>
            <w:tcW w:w="752" w:type="dxa"/>
            <w:noWrap w:val="0"/>
            <w:tcMar>
              <w:left w:w="108" w:type="dxa"/>
              <w:right w:w="108" w:type="dxa"/>
            </w:tcMar>
            <w:vAlign w:val="center"/>
          </w:tcPr>
          <w:p w14:paraId="3601389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6C262D57">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3BB9A7E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7D14394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5C7C48F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0D47A7F2">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7637BF1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20D3B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15" w:type="dxa"/>
            <w:vMerge w:val="continue"/>
            <w:noWrap w:val="0"/>
            <w:tcMar>
              <w:left w:w="108" w:type="dxa"/>
              <w:right w:w="108" w:type="dxa"/>
            </w:tcMar>
            <w:vAlign w:val="center"/>
          </w:tcPr>
          <w:p w14:paraId="31377551">
            <w:pPr>
              <w:rPr>
                <w:rFonts w:ascii="黑体" w:hAnsi="黑体" w:eastAsia="黑体"/>
                <w:color w:val="auto"/>
                <w:szCs w:val="21"/>
              </w:rPr>
            </w:pPr>
          </w:p>
        </w:tc>
        <w:tc>
          <w:tcPr>
            <w:tcW w:w="1699" w:type="dxa"/>
            <w:vMerge w:val="restart"/>
            <w:noWrap w:val="0"/>
            <w:tcMar>
              <w:left w:w="108" w:type="dxa"/>
              <w:right w:w="108" w:type="dxa"/>
            </w:tcMar>
            <w:vAlign w:val="center"/>
          </w:tcPr>
          <w:p w14:paraId="34D41818">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（六）其他处理</w:t>
            </w:r>
          </w:p>
        </w:tc>
        <w:tc>
          <w:tcPr>
            <w:tcW w:w="2973" w:type="dxa"/>
            <w:noWrap w:val="0"/>
            <w:vAlign w:val="center"/>
          </w:tcPr>
          <w:p w14:paraId="228138FE">
            <w:pPr>
              <w:widowControl/>
              <w:spacing w:line="300" w:lineRule="exact"/>
              <w:rPr>
                <w:rFonts w:ascii="仿宋_GB2312" w:hAnsi="楷体" w:eastAsia="仿宋_GB2312"/>
                <w:color w:val="auto"/>
              </w:rPr>
            </w:pPr>
            <w:r>
              <w:rPr>
                <w:rFonts w:hint="eastAsia" w:ascii="仿宋_GB2312" w:hAnsi="楷体" w:eastAsia="仿宋_GB2312"/>
                <w:color w:val="auto"/>
              </w:rPr>
              <w:t>1.申请人无正当理由逾期不补正、行政机关不再处理其政府信息公开申请</w:t>
            </w:r>
          </w:p>
        </w:tc>
        <w:tc>
          <w:tcPr>
            <w:tcW w:w="752" w:type="dxa"/>
            <w:noWrap w:val="0"/>
            <w:tcMar>
              <w:left w:w="108" w:type="dxa"/>
              <w:right w:w="108" w:type="dxa"/>
            </w:tcMar>
            <w:vAlign w:val="center"/>
          </w:tcPr>
          <w:p w14:paraId="16A4FF0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71D3134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40" w:type="dxa"/>
            <w:noWrap w:val="0"/>
            <w:tcMar>
              <w:left w:w="108" w:type="dxa"/>
              <w:right w:w="108" w:type="dxa"/>
            </w:tcMar>
            <w:vAlign w:val="center"/>
          </w:tcPr>
          <w:p w14:paraId="0105551B">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4B92902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37FFE50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32EF3533">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1652058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r>
      <w:tr w14:paraId="645F1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noWrap w:val="0"/>
            <w:tcMar>
              <w:left w:w="108" w:type="dxa"/>
              <w:right w:w="108" w:type="dxa"/>
            </w:tcMar>
            <w:vAlign w:val="center"/>
          </w:tcPr>
          <w:p w14:paraId="5E96EB32">
            <w:pPr>
              <w:rPr>
                <w:rFonts w:ascii="黑体" w:hAnsi="黑体" w:eastAsia="黑体"/>
                <w:color w:val="auto"/>
                <w:szCs w:val="21"/>
              </w:rPr>
            </w:pPr>
          </w:p>
        </w:tc>
        <w:tc>
          <w:tcPr>
            <w:tcW w:w="1699" w:type="dxa"/>
            <w:vMerge w:val="continue"/>
            <w:noWrap w:val="0"/>
            <w:tcMar>
              <w:left w:w="108" w:type="dxa"/>
              <w:right w:w="108" w:type="dxa"/>
            </w:tcMar>
            <w:vAlign w:val="center"/>
          </w:tcPr>
          <w:p w14:paraId="32C22C5F">
            <w:pPr>
              <w:widowControl/>
              <w:spacing w:line="300" w:lineRule="exact"/>
              <w:rPr>
                <w:rFonts w:ascii="黑体" w:hAnsi="黑体" w:eastAsia="黑体"/>
                <w:color w:val="auto"/>
                <w:kern w:val="0"/>
                <w:szCs w:val="21"/>
              </w:rPr>
            </w:pPr>
          </w:p>
        </w:tc>
        <w:tc>
          <w:tcPr>
            <w:tcW w:w="2973" w:type="dxa"/>
            <w:noWrap w:val="0"/>
            <w:vAlign w:val="center"/>
          </w:tcPr>
          <w:p w14:paraId="0D9149A2">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2.申请人逾期未按收费通知要求缴纳费用、行政机关不再处理其政府信息公开申请</w:t>
            </w:r>
          </w:p>
        </w:tc>
        <w:tc>
          <w:tcPr>
            <w:tcW w:w="752" w:type="dxa"/>
            <w:noWrap w:val="0"/>
            <w:tcMar>
              <w:left w:w="108" w:type="dxa"/>
              <w:right w:w="108" w:type="dxa"/>
            </w:tcMar>
            <w:vAlign w:val="center"/>
          </w:tcPr>
          <w:p w14:paraId="69DD0A1C">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noWrap w:val="0"/>
            <w:tcMar>
              <w:left w:w="108" w:type="dxa"/>
              <w:right w:w="108" w:type="dxa"/>
            </w:tcMar>
            <w:vAlign w:val="center"/>
          </w:tcPr>
          <w:p w14:paraId="1FB04811">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noWrap w:val="0"/>
            <w:tcMar>
              <w:left w:w="108" w:type="dxa"/>
              <w:right w:w="108" w:type="dxa"/>
            </w:tcMar>
            <w:vAlign w:val="center"/>
          </w:tcPr>
          <w:p w14:paraId="704191B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18344940">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3F65D8D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45968F7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16A11882">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r>
      <w:tr w14:paraId="07D52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noWrap w:val="0"/>
            <w:tcMar>
              <w:left w:w="108" w:type="dxa"/>
              <w:right w:w="108" w:type="dxa"/>
            </w:tcMar>
            <w:vAlign w:val="center"/>
          </w:tcPr>
          <w:p w14:paraId="597D47DF">
            <w:pPr>
              <w:rPr>
                <w:rFonts w:ascii="黑体" w:hAnsi="黑体" w:eastAsia="黑体"/>
                <w:color w:val="auto"/>
                <w:szCs w:val="21"/>
              </w:rPr>
            </w:pPr>
          </w:p>
        </w:tc>
        <w:tc>
          <w:tcPr>
            <w:tcW w:w="1699" w:type="dxa"/>
            <w:vMerge w:val="continue"/>
            <w:noWrap w:val="0"/>
            <w:tcMar>
              <w:left w:w="108" w:type="dxa"/>
              <w:right w:w="108" w:type="dxa"/>
            </w:tcMar>
            <w:vAlign w:val="center"/>
          </w:tcPr>
          <w:p w14:paraId="3CFA1005">
            <w:pPr>
              <w:widowControl/>
              <w:spacing w:line="300" w:lineRule="exact"/>
              <w:rPr>
                <w:rFonts w:ascii="黑体" w:hAnsi="黑体" w:eastAsia="黑体"/>
                <w:color w:val="auto"/>
                <w:kern w:val="0"/>
                <w:szCs w:val="21"/>
              </w:rPr>
            </w:pPr>
          </w:p>
        </w:tc>
        <w:tc>
          <w:tcPr>
            <w:tcW w:w="2973" w:type="dxa"/>
            <w:noWrap w:val="0"/>
            <w:vAlign w:val="center"/>
          </w:tcPr>
          <w:p w14:paraId="5629830B">
            <w:pPr>
              <w:widowControl/>
              <w:spacing w:line="300" w:lineRule="exact"/>
              <w:rPr>
                <w:rFonts w:ascii="仿宋_GB2312" w:hAnsi="黑体" w:eastAsia="仿宋_GB2312"/>
                <w:color w:val="auto"/>
                <w:kern w:val="0"/>
                <w:szCs w:val="21"/>
              </w:rPr>
            </w:pPr>
            <w:r>
              <w:rPr>
                <w:rFonts w:hint="eastAsia" w:ascii="仿宋_GB2312" w:hAnsi="楷体" w:eastAsia="仿宋_GB2312"/>
                <w:color w:val="auto"/>
              </w:rPr>
              <w:t>3.其他</w:t>
            </w:r>
          </w:p>
        </w:tc>
        <w:tc>
          <w:tcPr>
            <w:tcW w:w="752" w:type="dxa"/>
            <w:noWrap w:val="0"/>
            <w:tcMar>
              <w:left w:w="108" w:type="dxa"/>
              <w:right w:w="108" w:type="dxa"/>
            </w:tcMar>
            <w:vAlign w:val="center"/>
          </w:tcPr>
          <w:p w14:paraId="48EE3150">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noWrap w:val="0"/>
            <w:tcMar>
              <w:left w:w="108" w:type="dxa"/>
              <w:right w:w="108" w:type="dxa"/>
            </w:tcMar>
            <w:vAlign w:val="center"/>
          </w:tcPr>
          <w:p w14:paraId="04EEF1F6">
            <w:pPr>
              <w:widowControl/>
              <w:spacing w:line="240" w:lineRule="exact"/>
              <w:jc w:val="center"/>
              <w:rPr>
                <w:rFonts w:hint="eastAsia" w:ascii="仿宋_GB2312" w:eastAsia="仿宋_GB2312"/>
                <w:color w:val="auto"/>
                <w:szCs w:val="21"/>
                <w:lang w:eastAsia="zh-CN"/>
              </w:rPr>
            </w:pPr>
            <w:r>
              <w:rPr>
                <w:rFonts w:hint="eastAsia" w:ascii="仿宋_GB2312" w:eastAsia="仿宋_GB2312"/>
                <w:color w:val="auto"/>
                <w:szCs w:val="21"/>
                <w:lang w:val="en-US" w:eastAsia="zh-CN"/>
              </w:rPr>
              <w:t>0</w:t>
            </w:r>
          </w:p>
        </w:tc>
        <w:tc>
          <w:tcPr>
            <w:tcW w:w="540" w:type="dxa"/>
            <w:noWrap w:val="0"/>
            <w:tcMar>
              <w:left w:w="108" w:type="dxa"/>
              <w:right w:w="108" w:type="dxa"/>
            </w:tcMar>
            <w:vAlign w:val="center"/>
          </w:tcPr>
          <w:p w14:paraId="5261097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44506D31">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66DD3EDC">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23385FB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46B5C8A4">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r>
      <w:tr w14:paraId="257D6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15" w:type="dxa"/>
            <w:vMerge w:val="continue"/>
            <w:noWrap w:val="0"/>
            <w:tcMar>
              <w:left w:w="108" w:type="dxa"/>
              <w:right w:w="108" w:type="dxa"/>
            </w:tcMar>
            <w:vAlign w:val="center"/>
          </w:tcPr>
          <w:p w14:paraId="018EF2E0">
            <w:pPr>
              <w:rPr>
                <w:rFonts w:ascii="黑体" w:hAnsi="黑体" w:eastAsia="黑体"/>
                <w:color w:val="auto"/>
                <w:szCs w:val="21"/>
              </w:rPr>
            </w:pPr>
          </w:p>
        </w:tc>
        <w:tc>
          <w:tcPr>
            <w:tcW w:w="4672" w:type="dxa"/>
            <w:gridSpan w:val="2"/>
            <w:noWrap w:val="0"/>
            <w:tcMar>
              <w:left w:w="108" w:type="dxa"/>
              <w:right w:w="108" w:type="dxa"/>
            </w:tcMar>
            <w:vAlign w:val="center"/>
          </w:tcPr>
          <w:p w14:paraId="6343DCB3">
            <w:pPr>
              <w:widowControl/>
              <w:spacing w:line="300" w:lineRule="exact"/>
              <w:rPr>
                <w:rFonts w:ascii="黑体" w:hAnsi="黑体" w:eastAsia="黑体"/>
                <w:color w:val="auto"/>
                <w:kern w:val="0"/>
                <w:szCs w:val="21"/>
              </w:rPr>
            </w:pPr>
            <w:r>
              <w:rPr>
                <w:rFonts w:hint="eastAsia" w:ascii="黑体" w:hAnsi="黑体" w:eastAsia="黑体"/>
                <w:color w:val="auto"/>
                <w:kern w:val="0"/>
                <w:szCs w:val="21"/>
              </w:rPr>
              <w:t>（七）总计</w:t>
            </w:r>
          </w:p>
        </w:tc>
        <w:tc>
          <w:tcPr>
            <w:tcW w:w="752" w:type="dxa"/>
            <w:noWrap w:val="0"/>
            <w:tcMar>
              <w:left w:w="108" w:type="dxa"/>
              <w:right w:w="108" w:type="dxa"/>
            </w:tcMar>
            <w:vAlign w:val="center"/>
          </w:tcPr>
          <w:p w14:paraId="68EC4D74">
            <w:pPr>
              <w:widowControl/>
              <w:spacing w:line="240" w:lineRule="exact"/>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1</w:t>
            </w:r>
          </w:p>
        </w:tc>
        <w:tc>
          <w:tcPr>
            <w:tcW w:w="540" w:type="dxa"/>
            <w:noWrap w:val="0"/>
            <w:tcMar>
              <w:left w:w="108" w:type="dxa"/>
              <w:right w:w="108" w:type="dxa"/>
            </w:tcMar>
            <w:vAlign w:val="center"/>
          </w:tcPr>
          <w:p w14:paraId="6DC62AC5">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noWrap w:val="0"/>
            <w:tcMar>
              <w:left w:w="108" w:type="dxa"/>
              <w:right w:w="108" w:type="dxa"/>
            </w:tcMar>
            <w:vAlign w:val="center"/>
          </w:tcPr>
          <w:p w14:paraId="5B23746E">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25F84C0A">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132291F9">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48A4AA66">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730BCAD7">
            <w:pPr>
              <w:widowControl/>
              <w:spacing w:line="240" w:lineRule="exact"/>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1</w:t>
            </w:r>
          </w:p>
        </w:tc>
      </w:tr>
      <w:tr w14:paraId="6564A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noWrap w:val="0"/>
            <w:tcMar>
              <w:left w:w="108" w:type="dxa"/>
              <w:right w:w="108" w:type="dxa"/>
            </w:tcMar>
            <w:vAlign w:val="center"/>
          </w:tcPr>
          <w:p w14:paraId="054E8600">
            <w:pPr>
              <w:widowControl/>
              <w:spacing w:line="300" w:lineRule="exact"/>
              <w:rPr>
                <w:rFonts w:ascii="黑体" w:hAnsi="黑体" w:eastAsia="黑体"/>
                <w:color w:val="auto"/>
                <w:kern w:val="0"/>
                <w:szCs w:val="21"/>
              </w:rPr>
            </w:pPr>
            <w:r>
              <w:rPr>
                <w:rFonts w:hint="eastAsia" w:ascii="黑体" w:hAnsi="黑体" w:eastAsia="黑体"/>
                <w:color w:val="auto"/>
                <w:kern w:val="0"/>
                <w:szCs w:val="21"/>
              </w:rPr>
              <w:t>四、结转下年度继续办理</w:t>
            </w:r>
          </w:p>
        </w:tc>
        <w:tc>
          <w:tcPr>
            <w:tcW w:w="752" w:type="dxa"/>
            <w:noWrap w:val="0"/>
            <w:tcMar>
              <w:left w:w="108" w:type="dxa"/>
              <w:right w:w="108" w:type="dxa"/>
            </w:tcMar>
            <w:vAlign w:val="center"/>
          </w:tcPr>
          <w:p w14:paraId="1E094A27">
            <w:pPr>
              <w:widowControl/>
              <w:spacing w:line="240" w:lineRule="exact"/>
              <w:jc w:val="center"/>
              <w:rPr>
                <w:rFonts w:ascii="仿宋_GB2312" w:eastAsia="仿宋_GB2312"/>
                <w:color w:val="auto"/>
                <w:szCs w:val="21"/>
              </w:rPr>
            </w:pPr>
            <w:r>
              <w:rPr>
                <w:rFonts w:hint="eastAsia" w:ascii="仿宋_GB2312" w:eastAsia="仿宋_GB2312"/>
                <w:color w:val="auto"/>
                <w:szCs w:val="21"/>
              </w:rPr>
              <w:t>D</w:t>
            </w:r>
          </w:p>
        </w:tc>
        <w:tc>
          <w:tcPr>
            <w:tcW w:w="540" w:type="dxa"/>
            <w:noWrap w:val="0"/>
            <w:tcMar>
              <w:left w:w="108" w:type="dxa"/>
              <w:right w:w="108" w:type="dxa"/>
            </w:tcMar>
            <w:vAlign w:val="center"/>
          </w:tcPr>
          <w:p w14:paraId="58A76787">
            <w:pPr>
              <w:widowControl/>
              <w:spacing w:line="240" w:lineRule="exact"/>
              <w:jc w:val="center"/>
              <w:rPr>
                <w:rFonts w:hint="eastAsia" w:ascii="仿宋_GB2312" w:eastAsia="仿宋_GB2312"/>
                <w:color w:val="auto"/>
                <w:szCs w:val="21"/>
                <w:lang w:val="en-US" w:eastAsia="zh-CN"/>
              </w:rPr>
            </w:pPr>
            <w:r>
              <w:rPr>
                <w:rFonts w:hint="eastAsia" w:ascii="仿宋_GB2312" w:eastAsia="仿宋_GB2312"/>
                <w:color w:val="auto"/>
                <w:szCs w:val="21"/>
                <w:lang w:val="en-US" w:eastAsia="zh-CN"/>
              </w:rPr>
              <w:t>0</w:t>
            </w:r>
          </w:p>
        </w:tc>
        <w:tc>
          <w:tcPr>
            <w:tcW w:w="540" w:type="dxa"/>
            <w:noWrap w:val="0"/>
            <w:tcMar>
              <w:left w:w="108" w:type="dxa"/>
              <w:right w:w="108" w:type="dxa"/>
            </w:tcMar>
            <w:vAlign w:val="center"/>
          </w:tcPr>
          <w:p w14:paraId="40CC508D">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20" w:type="dxa"/>
            <w:noWrap w:val="0"/>
            <w:tcMar>
              <w:left w:w="108" w:type="dxa"/>
              <w:right w:w="108" w:type="dxa"/>
            </w:tcMar>
            <w:vAlign w:val="center"/>
          </w:tcPr>
          <w:p w14:paraId="0B137AD8">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675" w:type="dxa"/>
            <w:noWrap w:val="0"/>
            <w:tcMar>
              <w:left w:w="108" w:type="dxa"/>
              <w:right w:w="108" w:type="dxa"/>
            </w:tcMar>
            <w:vAlign w:val="center"/>
          </w:tcPr>
          <w:p w14:paraId="07488015">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526" w:type="dxa"/>
            <w:noWrap w:val="0"/>
            <w:tcMar>
              <w:left w:w="108" w:type="dxa"/>
              <w:right w:w="108" w:type="dxa"/>
            </w:tcMar>
            <w:vAlign w:val="center"/>
          </w:tcPr>
          <w:p w14:paraId="75F183E4">
            <w:pPr>
              <w:widowControl/>
              <w:spacing w:line="240" w:lineRule="exact"/>
              <w:jc w:val="center"/>
              <w:rPr>
                <w:rFonts w:ascii="仿宋_GB2312" w:eastAsia="仿宋_GB2312"/>
                <w:color w:val="auto"/>
                <w:szCs w:val="21"/>
              </w:rPr>
            </w:pPr>
            <w:r>
              <w:rPr>
                <w:rFonts w:hint="eastAsia" w:ascii="仿宋_GB2312" w:eastAsia="仿宋_GB2312"/>
                <w:color w:val="auto"/>
                <w:szCs w:val="21"/>
              </w:rPr>
              <w:t>0</w:t>
            </w:r>
          </w:p>
        </w:tc>
        <w:tc>
          <w:tcPr>
            <w:tcW w:w="701" w:type="dxa"/>
            <w:noWrap w:val="0"/>
            <w:tcMar>
              <w:left w:w="108" w:type="dxa"/>
              <w:right w:w="108" w:type="dxa"/>
            </w:tcMar>
            <w:vAlign w:val="center"/>
          </w:tcPr>
          <w:p w14:paraId="6F516B42">
            <w:pPr>
              <w:widowControl/>
              <w:spacing w:line="240" w:lineRule="exact"/>
              <w:jc w:val="center"/>
              <w:rPr>
                <w:rFonts w:hint="default" w:ascii="仿宋_GB2312" w:eastAsia="仿宋_GB2312"/>
                <w:color w:val="auto"/>
                <w:szCs w:val="21"/>
                <w:lang w:val="en-US" w:eastAsia="zh-CN"/>
              </w:rPr>
            </w:pPr>
            <w:r>
              <w:rPr>
                <w:rFonts w:hint="eastAsia" w:ascii="仿宋_GB2312" w:eastAsia="仿宋_GB2312"/>
                <w:color w:val="auto"/>
                <w:szCs w:val="21"/>
                <w:lang w:val="en-US" w:eastAsia="zh-CN"/>
              </w:rPr>
              <w:t>0</w:t>
            </w:r>
          </w:p>
        </w:tc>
      </w:tr>
    </w:tbl>
    <w:p w14:paraId="602156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BF9D3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05C387">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0E4CCA7B">
            <w:pPr>
              <w:widowControl/>
              <w:jc w:val="center"/>
              <w:rPr>
                <w:rFonts w:ascii="黑体" w:hAnsi="黑体" w:eastAsia="黑体"/>
              </w:rPr>
            </w:pPr>
            <w:r>
              <w:rPr>
                <w:rFonts w:ascii="黑体" w:hAnsi="黑体" w:eastAsia="黑体"/>
                <w:kern w:val="0"/>
                <w:sz w:val="20"/>
              </w:rPr>
              <w:t>行政诉讼</w:t>
            </w:r>
          </w:p>
        </w:tc>
      </w:tr>
      <w:tr w14:paraId="5985A4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63A38FE">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14:paraId="1607A97D">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41E34133">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AB701BB">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A4A79DA">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14:paraId="46AC9A12">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44A7E27">
            <w:pPr>
              <w:widowControl/>
              <w:spacing w:line="320" w:lineRule="exact"/>
              <w:jc w:val="center"/>
              <w:rPr>
                <w:rFonts w:ascii="黑体" w:hAnsi="黑体" w:eastAsia="黑体"/>
                <w:kern w:val="0"/>
                <w:sz w:val="20"/>
              </w:rPr>
            </w:pPr>
            <w:r>
              <w:rPr>
                <w:rFonts w:ascii="黑体" w:hAnsi="黑体" w:eastAsia="黑体"/>
                <w:kern w:val="0"/>
                <w:sz w:val="20"/>
              </w:rPr>
              <w:t>总</w:t>
            </w:r>
          </w:p>
          <w:p w14:paraId="1DB95432">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44D1A4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068DAB7">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48DED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0D2DE69">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50D18968">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7D905F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7E694B5">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86763BC">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080862D2">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8C631C2">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740DFD3">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14:paraId="5C9CD02B">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E3739C0">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14:paraId="011AE872">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450E6B6">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7A175B0">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93C2CE9">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14:paraId="16C5CCCA">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C61BF56">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14:paraId="55DAF047">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D62E5F9">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62C4303">
            <w:pPr>
              <w:widowControl/>
              <w:jc w:val="center"/>
              <w:rPr>
                <w:rFonts w:ascii="黑体" w:hAnsi="黑体" w:eastAsia="黑体"/>
              </w:rPr>
            </w:pPr>
            <w:r>
              <w:rPr>
                <w:rFonts w:ascii="黑体" w:hAnsi="黑体" w:eastAsia="黑体"/>
                <w:kern w:val="0"/>
                <w:sz w:val="20"/>
              </w:rPr>
              <w:t>总计</w:t>
            </w:r>
          </w:p>
        </w:tc>
      </w:tr>
      <w:tr w14:paraId="16ED45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EBAF60">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FB31E7F">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90AD923">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A949C9F">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8B5E55B">
            <w:pPr>
              <w:widowControl/>
              <w:spacing w:after="180"/>
              <w:jc w:val="center"/>
              <w:rPr>
                <w:rFonts w:hint="eastAsia"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4264910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4DD3736">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2CEAB06">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D134C42">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B0DD86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CBF17E1">
            <w:pPr>
              <w:widowControl/>
              <w:spacing w:after="180"/>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0AE75F3">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6593730">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0E49F06">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E4A81D7">
            <w:pPr>
              <w:widowControl/>
              <w:spacing w:after="180"/>
              <w:jc w:val="center"/>
              <w:rPr>
                <w:rFonts w:hint="eastAsia" w:eastAsia="宋体"/>
                <w:lang w:val="en-US" w:eastAsia="zh-CN"/>
              </w:rPr>
            </w:pPr>
            <w:r>
              <w:rPr>
                <w:rFonts w:hint="eastAsia"/>
                <w:lang w:val="en-US" w:eastAsia="zh-CN"/>
              </w:rPr>
              <w:t>0</w:t>
            </w:r>
          </w:p>
        </w:tc>
      </w:tr>
    </w:tbl>
    <w:p w14:paraId="44658E96">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24" w:firstLineChars="200"/>
        <w:jc w:val="left"/>
        <w:textAlignment w:val="auto"/>
        <w:rPr>
          <w:rFonts w:hint="eastAsia" w:ascii="黑体" w:hAnsi="黑体" w:eastAsia="黑体" w:cs="黑体"/>
          <w:spacing w:val="-4"/>
          <w:sz w:val="32"/>
          <w:szCs w:val="32"/>
          <w:lang w:val="en-US" w:eastAsia="zh-CN"/>
        </w:rPr>
      </w:pPr>
      <w:r>
        <w:rPr>
          <w:rFonts w:hint="eastAsia" w:ascii="黑体" w:hAnsi="黑体" w:eastAsia="黑体" w:cs="黑体"/>
          <w:spacing w:val="-4"/>
          <w:sz w:val="32"/>
          <w:szCs w:val="32"/>
          <w:lang w:val="en-US" w:eastAsia="zh-CN"/>
        </w:rPr>
        <w:t>五、存在的主要问题及改进情况</w:t>
      </w:r>
    </w:p>
    <w:p w14:paraId="625352F5">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Ã¥Â¾Â®Ã¨Â½Â¯Ã©â€ºâ€¦Ã©Â»â€˜" w:eastAsia="仿宋_GB2312" w:cs="仿宋_GB2312"/>
          <w:color w:val="auto"/>
          <w:spacing w:val="-4"/>
          <w:kern w:val="0"/>
          <w:sz w:val="32"/>
          <w:szCs w:val="32"/>
          <w:shd w:val="clear" w:color="auto" w:fill="FFFFFF"/>
          <w:lang w:val="en-US" w:eastAsia="zh-CN" w:bidi="ar-SA"/>
        </w:rPr>
      </w:pPr>
      <w:r>
        <w:rPr>
          <w:rFonts w:hint="eastAsia" w:ascii="仿宋_GB2312" w:hAnsi="仿宋_GB2312" w:eastAsia="仿宋_GB2312" w:cs="仿宋_GB2312"/>
          <w:b/>
          <w:bCs/>
          <w:kern w:val="0"/>
          <w:sz w:val="32"/>
          <w:szCs w:val="32"/>
          <w:lang w:val="en-US" w:eastAsia="zh-CN" w:bidi="ar"/>
        </w:rPr>
        <w:t>一</w:t>
      </w:r>
      <w:r>
        <w:rPr>
          <w:rFonts w:hint="eastAsia" w:ascii="仿宋_GB2312" w:hAnsi="仿宋_GB2312" w:eastAsia="仿宋_GB2312" w:cs="仿宋_GB2312"/>
          <w:b/>
          <w:bCs/>
          <w:color w:val="auto"/>
          <w:spacing w:val="-4"/>
          <w:kern w:val="0"/>
          <w:sz w:val="32"/>
          <w:szCs w:val="32"/>
          <w:shd w:val="clear" w:color="auto" w:fill="FFFFFF"/>
          <w:lang w:val="en-US" w:eastAsia="zh-CN" w:bidi="ar-SA"/>
        </w:rPr>
        <w:t>是</w:t>
      </w:r>
      <w:r>
        <w:rPr>
          <w:rFonts w:hint="eastAsia" w:ascii="仿宋_GB2312" w:hAnsi="仿宋_GB2312" w:eastAsia="仿宋_GB2312" w:cs="仿宋_GB2312"/>
          <w:color w:val="auto"/>
          <w:spacing w:val="-4"/>
          <w:kern w:val="0"/>
          <w:sz w:val="32"/>
          <w:szCs w:val="32"/>
          <w:shd w:val="clear" w:color="auto" w:fill="FFFFFF"/>
          <w:lang w:val="en-US" w:eastAsia="zh-CN" w:bidi="ar-SA"/>
        </w:rPr>
        <w:t>公开形式的生动性和可读性有待加强，信息发布形式较为单一，政策文件等信息的公开仍以纯文本或附件形式为主</w:t>
      </w:r>
      <w:r>
        <w:rPr>
          <w:rFonts w:hint="eastAsia" w:ascii="仿宋_GB2312" w:hAnsi="Ã¥Â¾Â®Ã¨Â½Â¯Ã©â€ºâ€¦Ã©Â»â€˜" w:eastAsia="仿宋_GB2312" w:cs="仿宋_GB2312"/>
          <w:color w:val="auto"/>
          <w:spacing w:val="-4"/>
          <w:kern w:val="0"/>
          <w:sz w:val="32"/>
          <w:szCs w:val="32"/>
          <w:shd w:val="clear" w:color="auto" w:fill="FFFFFF"/>
          <w:lang w:val="en-US" w:eastAsia="zh-CN" w:bidi="ar-SA"/>
        </w:rPr>
        <w:t>。</w:t>
      </w:r>
      <w:r>
        <w:rPr>
          <w:rFonts w:hint="eastAsia" w:ascii="仿宋_GB2312" w:hAnsi="Ã¥Â¾Â®Ã¨Â½Â¯Ã©â€ºâ€¦Ã©Â»â€˜" w:eastAsia="仿宋_GB2312" w:cs="仿宋_GB2312"/>
          <w:b/>
          <w:bCs/>
          <w:color w:val="auto"/>
          <w:spacing w:val="-4"/>
          <w:kern w:val="0"/>
          <w:sz w:val="32"/>
          <w:szCs w:val="32"/>
          <w:shd w:val="clear" w:color="auto" w:fill="FFFFFF"/>
          <w:lang w:val="en-US" w:eastAsia="zh-CN" w:bidi="ar-SA"/>
        </w:rPr>
        <w:t>二是</w:t>
      </w:r>
      <w:r>
        <w:rPr>
          <w:rFonts w:hint="eastAsia" w:ascii="仿宋_GB2312" w:hAnsi="Ã¥Â¾Â®Ã¨Â½Â¯Ã©â€ºâ€¦Ã©Â»â€˜" w:eastAsia="仿宋_GB2312" w:cs="仿宋_GB2312"/>
          <w:b w:val="0"/>
          <w:bCs w:val="0"/>
          <w:color w:val="auto"/>
          <w:spacing w:val="-4"/>
          <w:kern w:val="0"/>
          <w:sz w:val="32"/>
          <w:szCs w:val="32"/>
          <w:shd w:val="clear" w:color="auto" w:fill="FFFFFF"/>
          <w:lang w:val="en-US" w:eastAsia="zh-CN" w:bidi="ar-SA"/>
        </w:rPr>
        <w:t>部分领域公开内容的深度有待深化，部分重点领域信息公开较为笼</w:t>
      </w:r>
      <w:r>
        <w:rPr>
          <w:rFonts w:hint="eastAsia" w:ascii="仿宋_GB2312" w:hAnsi="Ã¥Â¾Â®Ã¨Â½Â¯Ã©â€ºâ€¦Ã©Â»â€˜" w:eastAsia="仿宋_GB2312" w:cs="仿宋_GB2312"/>
          <w:color w:val="auto"/>
          <w:spacing w:val="-4"/>
          <w:kern w:val="0"/>
          <w:sz w:val="32"/>
          <w:szCs w:val="32"/>
          <w:shd w:val="clear" w:color="auto" w:fill="FFFFFF"/>
          <w:lang w:val="en-US" w:eastAsia="zh-CN" w:bidi="ar-SA"/>
        </w:rPr>
        <w:t>统，影响公众知情权和监督权。</w:t>
      </w:r>
      <w:r>
        <w:rPr>
          <w:rFonts w:hint="eastAsia" w:ascii="仿宋_GB2312" w:hAnsi="Ã¥Â¾Â®Ã¨Â½Â¯Ã©â€ºâ€¦Ã©Â»â€˜" w:eastAsia="仿宋_GB2312" w:cs="仿宋_GB2312"/>
          <w:b/>
          <w:bCs/>
          <w:color w:val="auto"/>
          <w:spacing w:val="-4"/>
          <w:kern w:val="0"/>
          <w:sz w:val="32"/>
          <w:szCs w:val="32"/>
          <w:shd w:val="clear" w:color="auto" w:fill="FFFFFF"/>
          <w:lang w:val="en-US" w:eastAsia="zh-CN" w:bidi="ar-SA"/>
        </w:rPr>
        <w:t>三是</w:t>
      </w:r>
      <w:r>
        <w:rPr>
          <w:rFonts w:hint="eastAsia" w:ascii="仿宋_GB2312" w:hAnsi="Ã¥Â¾Â®Ã¨Â½Â¯Ã©â€ºâ€¦Ã©Â»â€˜" w:eastAsia="仿宋_GB2312" w:cs="仿宋_GB2312"/>
          <w:b w:val="0"/>
          <w:bCs w:val="0"/>
          <w:color w:val="auto"/>
          <w:spacing w:val="-4"/>
          <w:kern w:val="0"/>
          <w:sz w:val="32"/>
          <w:szCs w:val="32"/>
          <w:shd w:val="clear" w:color="auto" w:fill="FFFFFF"/>
          <w:lang w:val="en-US" w:eastAsia="zh-CN" w:bidi="ar-SA"/>
        </w:rPr>
        <w:t>依申请公开工作的标准化、精细化水平有待进一步提升，依申请公开</w:t>
      </w:r>
      <w:r>
        <w:rPr>
          <w:rFonts w:hint="eastAsia" w:ascii="仿宋_GB2312" w:hAnsi="Ã¥Â¾Â®Ã¨Â½Â¯Ã©â€ºâ€¦Ã©Â»â€˜" w:eastAsia="仿宋_GB2312" w:cs="仿宋_GB2312"/>
          <w:color w:val="auto"/>
          <w:spacing w:val="-4"/>
          <w:kern w:val="0"/>
          <w:sz w:val="32"/>
          <w:szCs w:val="32"/>
          <w:shd w:val="clear" w:color="auto" w:fill="FFFFFF"/>
          <w:lang w:val="en-US" w:eastAsia="zh-CN" w:bidi="ar-SA"/>
        </w:rPr>
        <w:t>办理规范化水平以及流程指引需进一步细化，以确保工作质量与公信力。</w:t>
      </w:r>
    </w:p>
    <w:p w14:paraId="303A0FF1">
      <w:pPr>
        <w:keepNext w:val="0"/>
        <w:keepLines w:val="0"/>
        <w:pageBreakBefore w:val="0"/>
        <w:widowControl/>
        <w:suppressLineNumbers w:val="0"/>
        <w:kinsoku/>
        <w:wordWrap/>
        <w:overflowPunct/>
        <w:topLinePunct w:val="0"/>
        <w:autoSpaceDE/>
        <w:autoSpaceDN/>
        <w:bidi w:val="0"/>
        <w:adjustRightInd/>
        <w:snapToGrid/>
        <w:spacing w:line="540" w:lineRule="exact"/>
        <w:ind w:firstLine="624" w:firstLineChars="200"/>
        <w:jc w:val="left"/>
        <w:textAlignment w:val="auto"/>
        <w:rPr>
          <w:rFonts w:hint="eastAsia" w:ascii="仿宋_GB2312" w:hAnsi="Ã¥Â¾Â®Ã¨Â½Â¯Ã©â€ºâ€¦Ã©Â»â€˜" w:eastAsia="仿宋_GB2312" w:cs="仿宋_GB2312"/>
          <w:color w:val="auto"/>
          <w:spacing w:val="-4"/>
          <w:kern w:val="0"/>
          <w:sz w:val="32"/>
          <w:szCs w:val="32"/>
          <w:shd w:val="clear" w:color="auto" w:fill="FFFFFF"/>
          <w:lang w:val="en-US" w:eastAsia="zh-CN" w:bidi="ar-SA"/>
        </w:rPr>
      </w:pPr>
      <w:r>
        <w:rPr>
          <w:rFonts w:hint="eastAsia" w:ascii="仿宋_GB2312" w:hAnsi="Ã¥Â¾Â®Ã¨Â½Â¯Ã©â€ºâ€¦Ã©Â»â€˜" w:eastAsia="仿宋_GB2312" w:cs="仿宋_GB2312"/>
          <w:color w:val="auto"/>
          <w:spacing w:val="-4"/>
          <w:kern w:val="0"/>
          <w:sz w:val="32"/>
          <w:szCs w:val="32"/>
          <w:shd w:val="clear" w:color="auto" w:fill="FFFFFF"/>
          <w:lang w:val="en-US" w:eastAsia="zh-CN" w:bidi="ar-SA"/>
        </w:rPr>
        <w:t>下一步，将重点开展以下工作：</w:t>
      </w:r>
      <w:r>
        <w:rPr>
          <w:rFonts w:hint="eastAsia" w:ascii="仿宋_GB2312" w:hAnsi="Ã¥Â¾Â®Ã¨Â½Â¯Ã©â€ºâ€¦Ã©Â»â€˜" w:eastAsia="仿宋_GB2312" w:cs="仿宋_GB2312"/>
          <w:b/>
          <w:bCs/>
          <w:color w:val="auto"/>
          <w:spacing w:val="-4"/>
          <w:kern w:val="0"/>
          <w:sz w:val="32"/>
          <w:szCs w:val="32"/>
          <w:shd w:val="clear" w:color="auto" w:fill="FFFFFF"/>
          <w:lang w:val="en-US" w:eastAsia="zh-CN" w:bidi="ar-SA"/>
        </w:rPr>
        <w:t>一是</w:t>
      </w:r>
      <w:r>
        <w:rPr>
          <w:rFonts w:hint="eastAsia" w:ascii="仿宋_GB2312" w:hAnsi="Ã¥Â¾Â®Ã¨Â½Â¯Ã©â€ºâ€¦Ã©Â»â€˜" w:eastAsia="仿宋_GB2312" w:cs="仿宋_GB2312"/>
          <w:color w:val="auto"/>
          <w:spacing w:val="-4"/>
          <w:kern w:val="0"/>
          <w:sz w:val="32"/>
          <w:szCs w:val="32"/>
          <w:shd w:val="clear" w:color="auto" w:fill="FFFFFF"/>
          <w:lang w:val="en-US" w:eastAsia="zh-CN" w:bidi="ar-SA"/>
        </w:rPr>
        <w:t>进一步探索运用图表、图解、视频等多样化形式解读政策文件，提升信息公开的亲和力与公众获取便利度。</w:t>
      </w:r>
      <w:r>
        <w:rPr>
          <w:rFonts w:hint="eastAsia" w:ascii="仿宋_GB2312" w:hAnsi="Ã¥Â¾Â®Ã¨Â½Â¯Ã©â€ºâ€¦Ã©Â»â€˜" w:eastAsia="仿宋_GB2312" w:cs="仿宋_GB2312"/>
          <w:b/>
          <w:bCs/>
          <w:color w:val="auto"/>
          <w:spacing w:val="-4"/>
          <w:kern w:val="0"/>
          <w:sz w:val="32"/>
          <w:szCs w:val="32"/>
          <w:shd w:val="clear" w:color="auto" w:fill="FFFFFF"/>
          <w:lang w:val="en-US" w:eastAsia="zh-CN" w:bidi="ar-SA"/>
        </w:rPr>
        <w:t>二是</w:t>
      </w:r>
      <w:r>
        <w:rPr>
          <w:rFonts w:hint="eastAsia" w:ascii="仿宋_GB2312" w:hAnsi="Ã¥Â¾Â®Ã¨Â½Â¯Ã©â€ºâ€¦Ã©Â»â€˜" w:eastAsia="仿宋_GB2312" w:cs="仿宋_GB2312"/>
          <w:color w:val="auto"/>
          <w:spacing w:val="-4"/>
          <w:kern w:val="0"/>
          <w:sz w:val="32"/>
          <w:szCs w:val="32"/>
          <w:shd w:val="clear" w:color="auto" w:fill="FFFFFF"/>
          <w:lang w:val="en-US" w:eastAsia="zh-CN" w:bidi="ar-SA"/>
        </w:rPr>
        <w:t>围绕重点领域和公众关切，进一步细化公开内容，逐步推动公开内容从“有没有”向“细不细、实不实”深化，更好地满足社会需求。</w:t>
      </w:r>
      <w:r>
        <w:rPr>
          <w:rFonts w:hint="eastAsia" w:ascii="仿宋_GB2312" w:hAnsi="Ã¥Â¾Â®Ã¨Â½Â¯Ã©â€ºâ€¦Ã©Â»â€˜" w:eastAsia="仿宋_GB2312" w:cs="仿宋_GB2312"/>
          <w:b/>
          <w:bCs/>
          <w:color w:val="auto"/>
          <w:spacing w:val="-4"/>
          <w:kern w:val="0"/>
          <w:sz w:val="32"/>
          <w:szCs w:val="32"/>
          <w:shd w:val="clear" w:color="auto" w:fill="FFFFFF"/>
          <w:lang w:val="en-US" w:eastAsia="zh-CN" w:bidi="ar-SA"/>
        </w:rPr>
        <w:t>三是</w:t>
      </w:r>
      <w:r>
        <w:rPr>
          <w:rFonts w:hint="eastAsia" w:ascii="仿宋_GB2312" w:hAnsi="Ã¥Â¾Â®Ã¨Â½Â¯Ã©â€ºâ€¦Ã©Â»â€˜" w:eastAsia="仿宋_GB2312" w:cs="仿宋_GB2312"/>
          <w:color w:val="auto"/>
          <w:spacing w:val="-4"/>
          <w:kern w:val="0"/>
          <w:sz w:val="32"/>
          <w:szCs w:val="32"/>
          <w:shd w:val="clear" w:color="auto" w:fill="FFFFFF"/>
          <w:lang w:val="en-US" w:eastAsia="zh-CN" w:bidi="ar-SA"/>
        </w:rPr>
        <w:t>规范依申请公开工作，优化受理、办理、答复流程，加强人员培训，提升答复质量，依法保障公众合理信息需求。</w:t>
      </w:r>
    </w:p>
    <w:p w14:paraId="4A5BF6F4">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其他需要报告的事项</w:t>
      </w:r>
    </w:p>
    <w:p w14:paraId="6B87A4DF">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（一）收取信息处理费情况</w:t>
      </w:r>
    </w:p>
    <w:p w14:paraId="3626051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年，台儿庄区行政审批服务局不存在因信息处理收取相关费用的情况。</w:t>
      </w:r>
    </w:p>
    <w:p w14:paraId="7B749D3B">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（二）落实上级年度政务公开工作要点情况</w:t>
      </w:r>
    </w:p>
    <w:p w14:paraId="09237898">
      <w:pPr>
        <w:pStyle w:val="2"/>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24" w:firstLineChars="200"/>
        <w:textAlignment w:val="auto"/>
        <w:rPr>
          <w:rFonts w:hint="eastAsia" w:ascii="仿宋_GB2312" w:hAnsi="Ã¥Â¾Â®Ã¨Â½Â¯Ã©â€ºâ€¦Ã©Â»â€˜" w:eastAsia="仿宋_GB2312" w:cs="仿宋_GB2312"/>
          <w:color w:val="auto"/>
          <w:spacing w:val="-4"/>
          <w:sz w:val="32"/>
          <w:szCs w:val="32"/>
          <w:shd w:val="clear" w:color="auto" w:fill="FFFFFF"/>
        </w:rPr>
      </w:pPr>
      <w:r>
        <w:rPr>
          <w:rFonts w:hint="eastAsia" w:ascii="仿宋_GB2312" w:hAnsi="Ã¥Â¾Â®Ã¨Â½Â¯Ã©â€ºâ€¦Ã©Â»â€˜" w:eastAsia="仿宋_GB2312" w:cs="仿宋_GB2312"/>
          <w:color w:val="auto"/>
          <w:spacing w:val="-4"/>
          <w:sz w:val="32"/>
          <w:szCs w:val="32"/>
          <w:shd w:val="clear" w:color="auto" w:fill="FFFFFF"/>
        </w:rPr>
        <w:t>本年度，严格对照国家、省、市、区202</w:t>
      </w:r>
      <w:r>
        <w:rPr>
          <w:rFonts w:hint="eastAsia" w:ascii="仿宋_GB2312" w:hAnsi="Ã¥Â¾Â®Ã¨Â½Â¯Ã©â€ºâ€¦Ã©Â»â€˜" w:eastAsia="仿宋_GB2312" w:cs="仿宋_GB2312"/>
          <w:color w:val="auto"/>
          <w:spacing w:val="-4"/>
          <w:sz w:val="32"/>
          <w:szCs w:val="32"/>
          <w:shd w:val="clear" w:color="auto" w:fill="FFFFFF"/>
          <w:lang w:val="en-US" w:eastAsia="zh-CN"/>
        </w:rPr>
        <w:t>5</w:t>
      </w:r>
      <w:r>
        <w:rPr>
          <w:rFonts w:hint="eastAsia" w:ascii="仿宋_GB2312" w:hAnsi="Ã¥Â¾Â®Ã¨Â½Â¯Ã©â€ºâ€¦Ã©Â»â€˜" w:eastAsia="仿宋_GB2312" w:cs="仿宋_GB2312"/>
          <w:color w:val="auto"/>
          <w:spacing w:val="-4"/>
          <w:sz w:val="32"/>
          <w:szCs w:val="32"/>
          <w:shd w:val="clear" w:color="auto" w:fill="FFFFFF"/>
        </w:rPr>
        <w:t>年政务公开工作要点，重点围绕深化“放管服”改革</w:t>
      </w:r>
      <w:r>
        <w:rPr>
          <w:rFonts w:hint="eastAsia" w:ascii="仿宋_GB2312" w:hAnsi="Ã¥Â¾Â®Ã¨Â½Â¯Ã©â€ºâ€¦Ã©Â»â€˜" w:eastAsia="仿宋_GB2312" w:cs="仿宋_GB2312"/>
          <w:color w:val="auto"/>
          <w:spacing w:val="-4"/>
          <w:sz w:val="32"/>
          <w:szCs w:val="32"/>
          <w:shd w:val="clear" w:color="auto" w:fill="FFFFFF"/>
          <w:lang w:eastAsia="zh-CN"/>
        </w:rPr>
        <w:t>，</w:t>
      </w:r>
      <w:r>
        <w:rPr>
          <w:rFonts w:hint="eastAsia" w:ascii="仿宋_GB2312" w:hAnsi="Ã¥Â¾Â®Ã¨Â½Â¯Ã©â€ºâ€¦Ã©Â»â€˜" w:eastAsia="仿宋_GB2312" w:cs="仿宋_GB2312"/>
          <w:color w:val="auto"/>
          <w:spacing w:val="-4"/>
          <w:sz w:val="32"/>
          <w:szCs w:val="32"/>
          <w:shd w:val="clear" w:color="auto" w:fill="FFFFFF"/>
        </w:rPr>
        <w:t>优化营商环境等方面，逐项明确责任分工与完成时限，确保了各项要点任务落地见效，有力推动了审批服务透明度和便利度的提升。</w:t>
      </w:r>
    </w:p>
    <w:p w14:paraId="7A9FE04E">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（三）人大代表建议和政协提案办理结果公开情况</w:t>
      </w:r>
    </w:p>
    <w:p w14:paraId="1A1A5602">
      <w:pPr>
        <w:pStyle w:val="2"/>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24" w:firstLineChars="200"/>
        <w:textAlignment w:val="auto"/>
        <w:rPr>
          <w:rFonts w:hint="eastAsia" w:ascii="仿宋_GB2312" w:hAnsi="Ã¥Â¾Â®Ã¨Â½Â¯Ã©â€ºâ€¦Ã©Â»â€˜" w:eastAsia="仿宋_GB2312" w:cs="仿宋_GB2312"/>
          <w:color w:val="FF0000"/>
          <w:spacing w:val="-4"/>
          <w:sz w:val="32"/>
          <w:szCs w:val="32"/>
          <w:shd w:val="clear" w:color="auto" w:fill="FFFFFF"/>
        </w:rPr>
      </w:pPr>
      <w:r>
        <w:rPr>
          <w:rFonts w:hint="eastAsia" w:ascii="仿宋_GB2312" w:hAnsi="DengXian" w:eastAsia="仿宋_GB2312" w:cs="仿宋_GB2312"/>
          <w:color w:val="auto"/>
          <w:spacing w:val="-4"/>
          <w:sz w:val="32"/>
          <w:szCs w:val="32"/>
          <w:shd w:val="clear" w:color="auto" w:fill="FFFFFF"/>
        </w:rPr>
        <w:t>202</w:t>
      </w:r>
      <w:r>
        <w:rPr>
          <w:rFonts w:hint="eastAsia" w:ascii="仿宋_GB2312" w:hAnsi="DengXian" w:eastAsia="仿宋_GB2312" w:cs="仿宋_GB2312"/>
          <w:color w:val="auto"/>
          <w:spacing w:val="-4"/>
          <w:sz w:val="32"/>
          <w:szCs w:val="32"/>
          <w:shd w:val="clear" w:color="auto" w:fill="FFFFFF"/>
          <w:lang w:val="en-US" w:eastAsia="zh-CN"/>
        </w:rPr>
        <w:t>5</w:t>
      </w:r>
      <w:r>
        <w:rPr>
          <w:rFonts w:hint="eastAsia" w:ascii="仿宋_GB2312" w:hAnsi="Ã¥Â¾Â®Ã¨Â½Â¯Ã©â€ºâ€¦Ã©Â»â€˜" w:eastAsia="仿宋_GB2312" w:cs="仿宋_GB2312"/>
          <w:color w:val="auto"/>
          <w:spacing w:val="-4"/>
          <w:sz w:val="32"/>
          <w:szCs w:val="32"/>
          <w:shd w:val="clear" w:color="auto" w:fill="FFFFFF"/>
        </w:rPr>
        <w:t>年，台儿庄区行政审批服务局共收到人大建议</w:t>
      </w:r>
      <w:r>
        <w:rPr>
          <w:rFonts w:hint="eastAsia" w:ascii="仿宋_GB2312" w:hAnsi="Ã¥Â¾Â®Ã¨Â½Â¯Ã©â€ºâ€¦Ã©Â»â€˜" w:eastAsia="仿宋_GB2312" w:cs="仿宋_GB2312"/>
          <w:color w:val="auto"/>
          <w:spacing w:val="-4"/>
          <w:sz w:val="32"/>
          <w:szCs w:val="32"/>
          <w:shd w:val="clear" w:color="auto" w:fill="FFFFFF"/>
          <w:lang w:val="en-US" w:eastAsia="zh-CN"/>
        </w:rPr>
        <w:t>1</w:t>
      </w:r>
      <w:r>
        <w:rPr>
          <w:rFonts w:hint="eastAsia" w:ascii="仿宋_GB2312" w:hAnsi="Ã¥Â¾Â®Ã¨Â½Â¯Ã©â€ºâ€¦Ã©Â»â€˜" w:eastAsia="仿宋_GB2312" w:cs="仿宋_GB2312"/>
          <w:color w:val="auto"/>
          <w:spacing w:val="-4"/>
          <w:sz w:val="32"/>
          <w:szCs w:val="32"/>
          <w:shd w:val="clear" w:color="auto" w:fill="FFFFFF"/>
        </w:rPr>
        <w:t>件</w:t>
      </w:r>
      <w:r>
        <w:rPr>
          <w:rFonts w:hint="eastAsia" w:ascii="仿宋_GB2312" w:hAnsi="Ã¥Â¾Â®Ã¨Â½Â¯Ã©â€ºâ€¦Ã©Â»â€˜" w:eastAsia="仿宋_GB2312" w:cs="仿宋_GB2312"/>
          <w:color w:val="auto"/>
          <w:spacing w:val="-4"/>
          <w:sz w:val="32"/>
          <w:szCs w:val="32"/>
          <w:shd w:val="clear" w:color="auto" w:fill="FFFFFF"/>
          <w:lang w:eastAsia="zh-CN"/>
        </w:rPr>
        <w:t>，市政协提案</w:t>
      </w:r>
      <w:r>
        <w:rPr>
          <w:rFonts w:hint="eastAsia" w:ascii="仿宋_GB2312" w:hAnsi="Ã¥Â¾Â®Ã¨Â½Â¯Ã©â€ºâ€¦Ã©Â»â€˜" w:eastAsia="仿宋_GB2312" w:cs="仿宋_GB2312"/>
          <w:color w:val="auto"/>
          <w:spacing w:val="-4"/>
          <w:sz w:val="32"/>
          <w:szCs w:val="32"/>
          <w:shd w:val="clear" w:color="auto" w:fill="FFFFFF"/>
          <w:lang w:val="en-US" w:eastAsia="zh-CN"/>
        </w:rPr>
        <w:t>1件，</w:t>
      </w:r>
      <w:r>
        <w:rPr>
          <w:rFonts w:hint="eastAsia" w:ascii="仿宋_GB2312" w:hAnsi="Ã¥Â¾Â®Ã¨Â½Â¯Ã©â€ºâ€¦Ã©Â»â€˜" w:eastAsia="仿宋_GB2312" w:cs="仿宋_GB2312"/>
          <w:color w:val="auto"/>
          <w:spacing w:val="-4"/>
          <w:sz w:val="32"/>
          <w:szCs w:val="32"/>
          <w:shd w:val="clear" w:color="auto" w:fill="FFFFFF"/>
        </w:rPr>
        <w:t>所承办的建议在规定的答复时限内答复完毕，建议所提问题已采纳，并将2件答复件进行了主动公开。</w:t>
      </w:r>
      <w:r>
        <w:rPr>
          <w:rFonts w:hint="eastAsia" w:ascii="仿宋_GB2312" w:hAnsi="Ã¥Â¾Â®Ã¨Â½Â¯Ã©â€ºâ€¦Ã©Â»â€˜" w:eastAsia="仿宋_GB2312" w:cs="仿宋_GB2312"/>
          <w:color w:val="FF0000"/>
          <w:spacing w:val="-4"/>
          <w:sz w:val="32"/>
          <w:szCs w:val="32"/>
          <w:shd w:val="clear" w:color="auto" w:fill="FFFFFF"/>
        </w:rPr>
        <w:t> </w:t>
      </w:r>
    </w:p>
    <w:p w14:paraId="7BF2D664">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（四）政务公开工作创新情况</w:t>
      </w:r>
    </w:p>
    <w:p w14:paraId="7313B79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无。</w:t>
      </w:r>
    </w:p>
    <w:p w14:paraId="41D025A4">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（五）本行政机关政府信息公开工作年度报告数据统计需要说明的事项</w:t>
      </w:r>
    </w:p>
    <w:p w14:paraId="75B9448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报告中所列数据的统计期限自</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年1月1日起至</w:t>
      </w:r>
      <w:r>
        <w:rPr>
          <w:rFonts w:hint="eastAsia" w:ascii="仿宋_GB2312" w:hAnsi="仿宋_GB2312" w:eastAsia="仿宋_GB2312" w:cs="仿宋_GB2312"/>
          <w:color w:val="auto"/>
          <w:sz w:val="32"/>
          <w:szCs w:val="32"/>
          <w:lang w:eastAsia="zh-CN"/>
        </w:rPr>
        <w:t>2025</w:t>
      </w:r>
      <w:r>
        <w:rPr>
          <w:rFonts w:hint="eastAsia" w:ascii="仿宋_GB2312" w:hAnsi="仿宋_GB2312" w:eastAsia="仿宋_GB2312" w:cs="仿宋_GB2312"/>
          <w:color w:val="auto"/>
          <w:sz w:val="32"/>
          <w:szCs w:val="32"/>
        </w:rPr>
        <w:t>年12月31日止。</w:t>
      </w:r>
    </w:p>
    <w:p w14:paraId="137D2647">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（六）本行政机关认为需要报告的其他事项</w:t>
      </w:r>
    </w:p>
    <w:p w14:paraId="08FD97D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无。</w:t>
      </w:r>
    </w:p>
    <w:p w14:paraId="4228F6EB">
      <w:pPr>
        <w:keepNext w:val="0"/>
        <w:keepLines w:val="0"/>
        <w:pageBreakBefore w:val="0"/>
        <w:kinsoku/>
        <w:wordWrap/>
        <w:overflowPunct/>
        <w:topLinePunct w:val="0"/>
        <w:autoSpaceDE/>
        <w:autoSpaceDN/>
        <w:bidi w:val="0"/>
        <w:adjustRightInd/>
        <w:snapToGrid/>
        <w:spacing w:line="540" w:lineRule="exact"/>
        <w:ind w:firstLine="624" w:firstLineChars="200"/>
        <w:textAlignment w:val="auto"/>
        <w:rPr>
          <w:rFonts w:hint="eastAsia"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（七）其他有关文件专门要求通过政府信息公开工作年度报告予以报告的事项</w:t>
      </w:r>
    </w:p>
    <w:p w14:paraId="027E1C05">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lang w:eastAsia="zh-CN"/>
        </w:rPr>
        <w:t>无。</w:t>
      </w:r>
    </w:p>
    <w:bookmarkEnd w:id="10"/>
    <w:p w14:paraId="5B4A3582">
      <w:pPr>
        <w:keepNext w:val="0"/>
        <w:keepLines w:val="0"/>
        <w:pageBreakBefore w:val="0"/>
        <w:kinsoku/>
        <w:wordWrap/>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台儿庄区行政审批服务局</w:t>
      </w:r>
    </w:p>
    <w:p w14:paraId="328FD762">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color w:val="000000"/>
          <w:sz w:val="32"/>
          <w:szCs w:val="32"/>
          <w:lang w:val="en-US" w:eastAsia="zh-CN"/>
        </w:rPr>
        <w:t xml:space="preserve">                             2026年1月13日</w:t>
      </w:r>
    </w:p>
    <w:sectPr>
      <w:pgSz w:w="11906" w:h="16838"/>
      <w:pgMar w:top="2098" w:right="1474" w:bottom="198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Ã¥Â¾Â®Ã¨Â½Â¯Ã©â€ºâ€¦Ã©Â»â€˜">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engXian">
    <w:altName w:val="微软雅黑"/>
    <w:panose1 w:val="02010600030101010101"/>
    <w:charset w:val="00"/>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E16CC"/>
    <w:rsid w:val="3FF73E4C"/>
    <w:rsid w:val="4DE74552"/>
    <w:rsid w:val="5CDFCC95"/>
    <w:rsid w:val="5F5F9B25"/>
    <w:rsid w:val="5F967CA0"/>
    <w:rsid w:val="693C43B8"/>
    <w:rsid w:val="77FF6EC1"/>
    <w:rsid w:val="7DDC7221"/>
    <w:rsid w:val="7FFB07F2"/>
    <w:rsid w:val="9BA967DD"/>
    <w:rsid w:val="ABDD4569"/>
    <w:rsid w:val="AFBFE1AF"/>
    <w:rsid w:val="AFFF0A41"/>
    <w:rsid w:val="C5FD84A8"/>
    <w:rsid w:val="E86316F4"/>
    <w:rsid w:val="F7373E3A"/>
    <w:rsid w:val="FF3D03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2919</Words>
  <Characters>3013</Characters>
  <Lines>0</Lines>
  <Paragraphs>0</Paragraphs>
  <TotalTime>27</TotalTime>
  <ScaleCrop>false</ScaleCrop>
  <LinksUpToDate>false</LinksUpToDate>
  <CharactersWithSpaces>3014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2026-01-14T17:53:18Z</dcterms:created>
  <dc:creator>user</dc:creator>
  <cp:lastModifiedBy>袁刚</cp:lastModifiedBy>
  <dcterms:modified xsi:type="dcterms:W3CDTF">2026-01-13T16:36:12Z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0513FAB68CCC438FFC0366695B9409C7_43</vt:lpwstr>
  </property>
  <property fmtid="{D5CDD505-2E9C-101B-9397-08002B2CF9AE}" pid="4" name="KSOTemplateDocerSaveRecord">
    <vt:lpwstr>eyJoZGlkIjoiZjUyNDM2NDc2YzA1YzdjNzBlYjhjZmYyMWQzOWJjNjEiLCJ1c2VySWQiOiIxNDk2MDkzNjE4In0=</vt:lpwstr>
  </property>
</Properties>
</file>