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4F0FD">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Cs/>
          <w:color w:val="333333"/>
          <w:spacing w:val="-17"/>
          <w:sz w:val="44"/>
          <w:szCs w:val="44"/>
          <w:shd w:val="clear" w:color="auto" w:fill="FFFFFF"/>
        </w:rPr>
      </w:pPr>
      <w:r>
        <w:rPr>
          <w:rFonts w:hint="eastAsia" w:ascii="方正小标宋简体" w:hAnsi="方正小标宋简体" w:eastAsia="方正小标宋简体" w:cs="方正小标宋简体"/>
          <w:bCs/>
          <w:color w:val="333333"/>
          <w:sz w:val="44"/>
          <w:szCs w:val="44"/>
          <w:shd w:val="clear" w:color="auto" w:fill="FFFFFF"/>
          <w:lang w:val="en-US" w:eastAsia="zh-CN"/>
        </w:rPr>
        <w:t>枣庄市</w:t>
      </w:r>
      <w:r>
        <w:rPr>
          <w:rFonts w:hint="eastAsia" w:ascii="方正小标宋简体" w:hAnsi="方正小标宋简体" w:eastAsia="方正小标宋简体" w:cs="方正小标宋简体"/>
          <w:bCs/>
          <w:color w:val="333333"/>
          <w:sz w:val="44"/>
          <w:szCs w:val="44"/>
          <w:shd w:val="clear" w:color="auto" w:fill="FFFFFF"/>
        </w:rPr>
        <w:t>台儿庄区</w:t>
      </w:r>
      <w:r>
        <w:rPr>
          <w:rFonts w:hint="eastAsia" w:ascii="方正小标宋简体" w:hAnsi="方正小标宋简体" w:eastAsia="方正小标宋简体" w:cs="方正小标宋简体"/>
          <w:bCs/>
          <w:color w:val="333333"/>
          <w:spacing w:val="-17"/>
          <w:sz w:val="44"/>
          <w:szCs w:val="44"/>
          <w:shd w:val="clear" w:color="auto" w:fill="FFFFFF"/>
          <w:lang w:val="en-US" w:eastAsia="zh-CN"/>
        </w:rPr>
        <w:t>人力资源和社会保障</w:t>
      </w:r>
      <w:r>
        <w:rPr>
          <w:rFonts w:hint="eastAsia" w:ascii="方正小标宋简体" w:hAnsi="方正小标宋简体" w:eastAsia="方正小标宋简体" w:cs="方正小标宋简体"/>
          <w:bCs/>
          <w:color w:val="333333"/>
          <w:spacing w:val="-17"/>
          <w:sz w:val="44"/>
          <w:szCs w:val="44"/>
          <w:shd w:val="clear" w:color="auto" w:fill="FFFFFF"/>
        </w:rPr>
        <w:t>局</w:t>
      </w:r>
    </w:p>
    <w:p w14:paraId="049563CA">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方正小标宋简体" w:eastAsia="方正小标宋简体" w:cs="方正小标宋简体"/>
          <w:bCs/>
          <w:color w:val="333333"/>
          <w:sz w:val="44"/>
          <w:szCs w:val="44"/>
        </w:rPr>
      </w:pPr>
      <w:r>
        <w:rPr>
          <w:rFonts w:hint="eastAsia" w:ascii="方正小标宋简体" w:hAnsi="方正小标宋简体" w:eastAsia="方正小标宋简体" w:cs="方正小标宋简体"/>
          <w:bCs/>
          <w:color w:val="333333"/>
          <w:spacing w:val="-17"/>
          <w:sz w:val="44"/>
          <w:szCs w:val="44"/>
          <w:shd w:val="clear" w:color="auto" w:fill="FFFFFF"/>
        </w:rPr>
        <w:t>2024年政府信息公开工作</w:t>
      </w:r>
      <w:r>
        <w:rPr>
          <w:rFonts w:hint="eastAsia" w:ascii="方正小标宋简体" w:hAnsi="方正小标宋简体" w:eastAsia="方正小标宋简体" w:cs="方正小标宋简体"/>
          <w:bCs/>
          <w:color w:val="333333"/>
          <w:sz w:val="44"/>
          <w:szCs w:val="44"/>
          <w:shd w:val="clear" w:color="auto" w:fill="FFFFFF"/>
        </w:rPr>
        <w:t>年度报告</w:t>
      </w:r>
    </w:p>
    <w:p w14:paraId="56C60441">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58" w:firstLineChars="200"/>
        <w:jc w:val="both"/>
        <w:textAlignment w:val="auto"/>
        <w:rPr>
          <w:rFonts w:cs="宋体"/>
          <w:color w:val="333333"/>
          <w:szCs w:val="24"/>
        </w:rPr>
      </w:pPr>
    </w:p>
    <w:p w14:paraId="06CE5496">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18" w:firstLineChars="200"/>
        <w:jc w:val="both"/>
        <w:textAlignment w:val="auto"/>
        <w:rPr>
          <w:rFonts w:hint="eastAsia" w:ascii="黑体" w:hAnsi="黑体" w:eastAsia="仿宋_GB2312" w:cs="黑体"/>
          <w:b/>
          <w:bCs/>
          <w:color w:val="FF0000"/>
          <w:kern w:val="2"/>
          <w:sz w:val="32"/>
          <w:szCs w:val="32"/>
          <w:lang w:eastAsia="zh-CN"/>
        </w:rPr>
      </w:pPr>
      <w:r>
        <w:rPr>
          <w:rFonts w:ascii="仿宋_GB2312" w:eastAsia="仿宋_GB2312" w:cs="仿宋_GB2312"/>
          <w:color w:val="000000"/>
          <w:sz w:val="32"/>
          <w:szCs w:val="32"/>
          <w:shd w:val="clear" w:color="auto" w:fill="FFFFFF"/>
        </w:rPr>
        <w:t>根据《中华人民共和国政府信息公开条例》（国务院令第</w:t>
      </w:r>
      <w:r>
        <w:rPr>
          <w:rFonts w:hint="eastAsia" w:ascii="仿宋_GB2312" w:eastAsia="仿宋_GB2312" w:cs="仿宋_GB2312"/>
          <w:color w:val="000000"/>
          <w:sz w:val="32"/>
          <w:szCs w:val="32"/>
          <w:shd w:val="clear" w:color="auto" w:fill="FFFFFF"/>
        </w:rPr>
        <w:t>711号，以下简称《条例》）《国务院办公厅政府信息与政务公开办公室关于印发＜中华人民共和国政府信息公开工作年度报告格式＞的通知》（国办公开办函〔2021〕30号）要求，编制本报告。本报告包括：总体情况；主动公开政府信息情况；收到和处理政府信息公开申请情况；政府信息公开行政复议、行政诉讼情况；存在的主要问题及改进情况；其他需要报告的事项等六个部分。报告中所列数据的统计期限自202</w:t>
      </w:r>
      <w:r>
        <w:rPr>
          <w:rFonts w:hint="eastAsia" w:ascii="仿宋_GB2312" w:eastAsia="仿宋_GB2312" w:cs="仿宋_GB2312"/>
          <w:color w:val="000000"/>
          <w:sz w:val="32"/>
          <w:szCs w:val="32"/>
          <w:shd w:val="clear" w:color="auto" w:fill="FFFFFF"/>
          <w:lang w:val="en-US" w:eastAsia="zh-CN"/>
        </w:rPr>
        <w:t>4</w:t>
      </w:r>
      <w:r>
        <w:rPr>
          <w:rFonts w:hint="eastAsia" w:ascii="仿宋_GB2312" w:eastAsia="仿宋_GB2312" w:cs="仿宋_GB2312"/>
          <w:color w:val="000000"/>
          <w:sz w:val="32"/>
          <w:szCs w:val="32"/>
          <w:shd w:val="clear" w:color="auto" w:fill="FFFFFF"/>
        </w:rPr>
        <w:t>年1月1日起至202</w:t>
      </w:r>
      <w:r>
        <w:rPr>
          <w:rFonts w:hint="eastAsia" w:ascii="仿宋_GB2312" w:eastAsia="仿宋_GB2312" w:cs="仿宋_GB2312"/>
          <w:color w:val="000000"/>
          <w:sz w:val="32"/>
          <w:szCs w:val="32"/>
          <w:shd w:val="clear" w:color="auto" w:fill="FFFFFF"/>
          <w:lang w:val="en-US" w:eastAsia="zh-CN"/>
        </w:rPr>
        <w:t>4</w:t>
      </w:r>
      <w:r>
        <w:rPr>
          <w:rFonts w:hint="eastAsia" w:ascii="仿宋_GB2312" w:eastAsia="仿宋_GB2312" w:cs="仿宋_GB2312"/>
          <w:color w:val="000000"/>
          <w:sz w:val="32"/>
          <w:szCs w:val="32"/>
          <w:shd w:val="clear" w:color="auto" w:fill="FFFFFF"/>
        </w:rPr>
        <w:t>年12月31日止。报告的电子版可在“台儿庄区政府门户网站”下载。如对本报告有疑问，请与台儿庄区人力资源和社会保障局办公室联系(地址:枣庄市台儿庄区台中路1506号；电话：0632—6611732；邮箱：tezrsj@zz.shandong.cn )</w:t>
      </w:r>
      <w:r>
        <w:rPr>
          <w:rFonts w:hint="eastAsia" w:ascii="仿宋_GB2312" w:eastAsia="仿宋_GB2312" w:cs="仿宋_GB2312"/>
          <w:color w:val="000000"/>
          <w:sz w:val="32"/>
          <w:szCs w:val="32"/>
          <w:shd w:val="clear" w:color="auto" w:fill="FFFFFF"/>
          <w:lang w:eastAsia="zh-CN"/>
        </w:rPr>
        <w:t>。</w:t>
      </w:r>
    </w:p>
    <w:p w14:paraId="02DF271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18" w:firstLineChars="200"/>
        <w:jc w:val="both"/>
        <w:textAlignment w:val="auto"/>
        <w:rPr>
          <w:rFonts w:ascii="黑体" w:hAnsi="黑体" w:eastAsia="黑体" w:cs="黑体"/>
          <w:b w:val="0"/>
          <w:bCs/>
          <w:color w:val="333333"/>
          <w:sz w:val="32"/>
          <w:szCs w:val="32"/>
        </w:rPr>
      </w:pPr>
      <w:r>
        <w:rPr>
          <w:rFonts w:hint="eastAsia" w:ascii="黑体" w:hAnsi="黑体" w:eastAsia="黑体" w:cs="黑体"/>
          <w:b w:val="0"/>
          <w:bCs/>
          <w:color w:val="333333"/>
          <w:sz w:val="32"/>
          <w:szCs w:val="32"/>
          <w:shd w:val="clear" w:color="auto" w:fill="FFFFFF"/>
        </w:rPr>
        <w:t>一、总体情况</w:t>
      </w:r>
    </w:p>
    <w:p w14:paraId="4A304DDB">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仿宋_GB2312" w:hAnsi="宋体" w:eastAsia="仿宋_GB2312" w:cs="仿宋_GB2312"/>
          <w:color w:val="000000"/>
          <w:kern w:val="0"/>
          <w:sz w:val="32"/>
          <w:szCs w:val="32"/>
          <w:shd w:val="clear" w:color="auto" w:fill="FFFFFF"/>
          <w:lang w:val="en-US" w:eastAsia="zh-CN" w:bidi="ar-SA"/>
        </w:rPr>
      </w:pPr>
      <w:r>
        <w:rPr>
          <w:rFonts w:hint="eastAsia" w:ascii="仿宋_GB2312" w:hAnsi="宋体" w:eastAsia="仿宋_GB2312" w:cs="仿宋_GB2312"/>
          <w:color w:val="000000"/>
          <w:kern w:val="0"/>
          <w:sz w:val="32"/>
          <w:szCs w:val="32"/>
          <w:shd w:val="clear" w:color="auto" w:fill="FFFFFF"/>
          <w:lang w:val="en-US" w:eastAsia="zh-CN" w:bidi="ar-SA"/>
        </w:rPr>
        <w:t>2024年，台儿庄区人力资源和社会保障局坚持以习近平新时代中国特色社会主义思想为指导，深入贯彻党的二十大和二十届二中、三中全会精神，认真贯彻落实《条例》和各级部门关于政务公开文件精神，结合工作实际，通过完善主动公开，规范依申请公开，健全公开机制，切实增强人社工作透明度，积极保障人民群众的知情权、参与权和监督权。</w:t>
      </w:r>
    </w:p>
    <w:p w14:paraId="6357B4B3">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主动公开</w:t>
      </w:r>
      <w:r>
        <w:rPr>
          <w:rFonts w:hint="eastAsia" w:ascii="楷体_GB2312" w:hAnsi="楷体_GB2312" w:eastAsia="楷体_GB2312" w:cs="楷体_GB2312"/>
          <w:color w:val="auto"/>
          <w:sz w:val="32"/>
          <w:szCs w:val="32"/>
          <w:lang w:val="en-US" w:eastAsia="zh-CN"/>
        </w:rPr>
        <w:t>方面</w:t>
      </w:r>
    </w:p>
    <w:p w14:paraId="4E63DB4E">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我局</w:t>
      </w:r>
      <w:r>
        <w:rPr>
          <w:rFonts w:hint="eastAsia" w:ascii="仿宋_GB2312" w:hAnsi="仿宋_GB2312" w:eastAsia="仿宋_GB2312" w:cs="仿宋_GB2312"/>
          <w:sz w:val="32"/>
          <w:szCs w:val="32"/>
        </w:rPr>
        <w:t>紧扣中心工作，聚焦群众关切，</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时发布政策文件及工作动态等信息。全年在政府网站主动公开各类信息128条，在“</w:t>
      </w:r>
      <w:r>
        <w:rPr>
          <w:rFonts w:hint="eastAsia" w:ascii="仿宋_GB2312" w:hAnsi="宋体" w:eastAsia="仿宋_GB2312" w:cs="仿宋_GB2312"/>
          <w:color w:val="000000"/>
          <w:kern w:val="0"/>
          <w:sz w:val="32"/>
          <w:szCs w:val="32"/>
          <w:shd w:val="clear" w:color="auto" w:fill="FFFFFF"/>
        </w:rPr>
        <w:t>台儿庄人社局</w:t>
      </w:r>
      <w:r>
        <w:rPr>
          <w:rFonts w:hint="eastAsia" w:ascii="仿宋_GB2312" w:hAnsi="仿宋_GB2312" w:eastAsia="仿宋_GB2312" w:cs="仿宋_GB2312"/>
          <w:sz w:val="32"/>
          <w:szCs w:val="32"/>
        </w:rPr>
        <w:t>”微信公众号公开各类信息</w:t>
      </w:r>
      <w:r>
        <w:rPr>
          <w:rFonts w:hint="eastAsia" w:ascii="仿宋_GB2312" w:hAnsi="仿宋_GB2312" w:eastAsia="仿宋_GB2312" w:cs="仿宋_GB2312"/>
          <w:sz w:val="32"/>
          <w:szCs w:val="32"/>
          <w:lang w:val="en-US" w:eastAsia="zh-CN"/>
        </w:rPr>
        <w:t>172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涵盖政策文件、工作动态等领域</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，帮助公众准确理解政策内容，确保政策落地生根</w:t>
      </w:r>
      <w:r>
        <w:rPr>
          <w:rFonts w:hint="eastAsia" w:ascii="仿宋_GB2312" w:hAnsi="仿宋_GB2312" w:eastAsia="仿宋_GB2312" w:cs="仿宋_GB2312"/>
          <w:sz w:val="32"/>
          <w:szCs w:val="32"/>
          <w:lang w:eastAsia="zh-CN"/>
        </w:rPr>
        <w:t>。</w:t>
      </w:r>
    </w:p>
    <w:p w14:paraId="278885F7">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依申请公开</w:t>
      </w:r>
      <w:r>
        <w:rPr>
          <w:rFonts w:hint="eastAsia" w:ascii="楷体_GB2312" w:hAnsi="楷体_GB2312" w:eastAsia="楷体_GB2312" w:cs="楷体_GB2312"/>
          <w:color w:val="auto"/>
          <w:sz w:val="32"/>
          <w:szCs w:val="32"/>
          <w:lang w:val="en-US" w:eastAsia="zh-CN"/>
        </w:rPr>
        <w:t>方面</w:t>
      </w:r>
    </w:p>
    <w:p w14:paraId="7696430F">
      <w:pPr>
        <w:keepNext w:val="0"/>
        <w:keepLines w:val="0"/>
        <w:pageBreakBefore w:val="0"/>
        <w:numPr>
          <w:ilvl w:val="0"/>
          <w:numId w:val="0"/>
        </w:numPr>
        <w:kinsoku/>
        <w:wordWrap/>
        <w:overflowPunct/>
        <w:topLinePunct w:val="0"/>
        <w:autoSpaceDE/>
        <w:autoSpaceDN/>
        <w:bidi w:val="0"/>
        <w:adjustRightInd/>
        <w:snapToGrid/>
        <w:spacing w:line="560" w:lineRule="exact"/>
        <w:ind w:firstLine="598" w:firstLineChars="200"/>
        <w:jc w:val="both"/>
        <w:textAlignment w:val="auto"/>
        <w:rPr>
          <w:rFonts w:hint="eastAsia" w:ascii="仿宋_GB2312" w:hAnsi="微软雅黑" w:eastAsia="仿宋_GB2312" w:cs="仿宋_GB2312"/>
          <w:i w:val="0"/>
          <w:iCs w:val="0"/>
          <w:caps w:val="0"/>
          <w:color w:val="000000"/>
          <w:spacing w:val="0"/>
          <w:sz w:val="31"/>
          <w:szCs w:val="31"/>
          <w:shd w:val="clear" w:fill="FFFFFF"/>
          <w:lang w:eastAsia="zh-CN"/>
        </w:rPr>
      </w:pPr>
      <w:r>
        <w:rPr>
          <w:rFonts w:ascii="仿宋_GB2312" w:hAnsi="微软雅黑" w:eastAsia="仿宋_GB2312" w:cs="仿宋_GB2312"/>
          <w:i w:val="0"/>
          <w:iCs w:val="0"/>
          <w:caps w:val="0"/>
          <w:color w:val="000000"/>
          <w:spacing w:val="0"/>
          <w:sz w:val="31"/>
          <w:szCs w:val="31"/>
          <w:shd w:val="clear" w:fill="FFFFFF"/>
        </w:rPr>
        <w:t>我局始终坚持依申请公开程序规范化，不断完善申请接收、登记、办理、审核、答复等环节的制度规范，加强业务人员培训，提高经办人员办件水平，确保依申请公开答复审慎准确、合法规范</w:t>
      </w:r>
      <w:r>
        <w:rPr>
          <w:rFonts w:hint="eastAsia" w:ascii="仿宋_GB2312" w:hAnsi="微软雅黑" w:eastAsia="仿宋_GB2312" w:cs="仿宋_GB2312"/>
          <w:i w:val="0"/>
          <w:iCs w:val="0"/>
          <w:caps w:val="0"/>
          <w:color w:val="000000"/>
          <w:spacing w:val="0"/>
          <w:sz w:val="31"/>
          <w:szCs w:val="31"/>
          <w:shd w:val="clear" w:fill="FFFFFF"/>
          <w:lang w:eastAsia="zh-CN"/>
        </w:rPr>
        <w:t>，</w:t>
      </w:r>
      <w:r>
        <w:rPr>
          <w:rFonts w:ascii="仿宋_GB2312" w:hAnsi="微软雅黑" w:eastAsia="仿宋_GB2312" w:cs="仿宋_GB2312"/>
          <w:i w:val="0"/>
          <w:iCs w:val="0"/>
          <w:caps w:val="0"/>
          <w:color w:val="000000"/>
          <w:spacing w:val="0"/>
          <w:sz w:val="31"/>
          <w:szCs w:val="31"/>
          <w:shd w:val="clear" w:fill="FFFFFF"/>
        </w:rPr>
        <w:t>今年处理依申请公开0件</w:t>
      </w:r>
      <w:r>
        <w:rPr>
          <w:rFonts w:hint="eastAsia" w:ascii="仿宋_GB2312" w:hAnsi="微软雅黑" w:eastAsia="仿宋_GB2312" w:cs="仿宋_GB2312"/>
          <w:i w:val="0"/>
          <w:iCs w:val="0"/>
          <w:caps w:val="0"/>
          <w:color w:val="000000"/>
          <w:spacing w:val="0"/>
          <w:sz w:val="31"/>
          <w:szCs w:val="31"/>
          <w:shd w:val="clear" w:fill="FFFFFF"/>
          <w:lang w:eastAsia="zh-CN"/>
        </w:rPr>
        <w:t>。</w:t>
      </w:r>
    </w:p>
    <w:p w14:paraId="08FF99DA">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（三）政府信息管理方面</w:t>
      </w:r>
    </w:p>
    <w:p w14:paraId="463E92FE">
      <w:pPr>
        <w:keepNext w:val="0"/>
        <w:keepLines w:val="0"/>
        <w:pageBreakBefore w:val="0"/>
        <w:numPr>
          <w:ilvl w:val="0"/>
          <w:numId w:val="0"/>
        </w:numPr>
        <w:kinsoku/>
        <w:wordWrap/>
        <w:overflowPunct/>
        <w:topLinePunct w:val="0"/>
        <w:autoSpaceDE/>
        <w:autoSpaceDN/>
        <w:bidi w:val="0"/>
        <w:adjustRightInd/>
        <w:snapToGrid/>
        <w:spacing w:line="560" w:lineRule="exact"/>
        <w:ind w:firstLine="618"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严格按照要求在人民政府网站更新并动态调整主动公开基本目录，认</w:t>
      </w:r>
      <w:r>
        <w:rPr>
          <w:rFonts w:hint="eastAsia" w:ascii="仿宋_GB2312" w:hAnsi="仿宋_GB2312" w:eastAsia="仿宋_GB2312" w:cs="仿宋_GB2312"/>
          <w:sz w:val="32"/>
          <w:szCs w:val="32"/>
        </w:rPr>
        <w:t>真落实政府信息公开审核和保密审查制度，进一步完善政府信息公开工作各项制度规范，严格落实“三审三校”等相关要求，确保发布的信息内容无涉密内容。</w:t>
      </w:r>
    </w:p>
    <w:p w14:paraId="72641437">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（四）平台建设方面</w:t>
      </w:r>
    </w:p>
    <w:p w14:paraId="505EF199">
      <w:pPr>
        <w:keepNext w:val="0"/>
        <w:keepLines w:val="0"/>
        <w:pageBreakBefore w:val="0"/>
        <w:numPr>
          <w:ilvl w:val="0"/>
          <w:numId w:val="0"/>
        </w:numPr>
        <w:kinsoku/>
        <w:wordWrap/>
        <w:overflowPunct/>
        <w:topLinePunct w:val="0"/>
        <w:autoSpaceDE/>
        <w:autoSpaceDN/>
        <w:bidi w:val="0"/>
        <w:adjustRightInd/>
        <w:snapToGrid/>
        <w:spacing w:line="560" w:lineRule="exact"/>
        <w:ind w:firstLine="618"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我局政务信息公开平台板块及栏目设置，严格按照政府网站的规范要求建设，确保应有公开栏目不漏项，做到应公开尽公开。利用“</w:t>
      </w:r>
      <w:r>
        <w:rPr>
          <w:rFonts w:hint="eastAsia" w:ascii="仿宋_GB2312" w:hAnsi="仿宋_GB2312" w:eastAsia="仿宋_GB2312" w:cs="仿宋_GB2312"/>
          <w:sz w:val="32"/>
          <w:szCs w:val="32"/>
          <w:lang w:val="en-US" w:eastAsia="zh-CN"/>
        </w:rPr>
        <w:t>台儿庄人社</w:t>
      </w:r>
      <w:r>
        <w:rPr>
          <w:rFonts w:hint="eastAsia" w:ascii="仿宋_GB2312" w:hAnsi="仿宋_GB2312" w:eastAsia="仿宋_GB2312" w:cs="仿宋_GB2312"/>
          <w:sz w:val="32"/>
          <w:szCs w:val="32"/>
        </w:rPr>
        <w:t>”“台儿庄区公共就业”微信公众号等新媒体辅助做好信息公开工作，根据工作进展持续发布动态信息，主动回应群众关切</w:t>
      </w:r>
      <w:r>
        <w:rPr>
          <w:rFonts w:hint="default" w:ascii="仿宋_GB2312" w:hAnsi="仿宋_GB2312" w:eastAsia="仿宋_GB2312" w:cs="仿宋_GB2312"/>
          <w:sz w:val="32"/>
          <w:szCs w:val="32"/>
        </w:rPr>
        <w:t>。同</w:t>
      </w:r>
      <w:r>
        <w:rPr>
          <w:rFonts w:hint="eastAsia" w:ascii="仿宋_GB2312" w:hAnsi="仿宋_GB2312" w:eastAsia="仿宋_GB2312" w:cs="仿宋_GB2312"/>
          <w:sz w:val="32"/>
          <w:szCs w:val="32"/>
          <w:lang w:val="en-US" w:eastAsia="zh-CN"/>
        </w:rPr>
        <w:t>时在</w:t>
      </w:r>
      <w:r>
        <w:rPr>
          <w:rFonts w:hint="default" w:ascii="仿宋_GB2312" w:hAnsi="仿宋_GB2312" w:eastAsia="仿宋_GB2312" w:cs="仿宋_GB2312"/>
          <w:sz w:val="32"/>
          <w:szCs w:val="32"/>
        </w:rPr>
        <w:t>政务服务大厅人社服务窗口实施主动公开，不断提高群众对人社工作的知晓率</w:t>
      </w:r>
      <w:r>
        <w:rPr>
          <w:rFonts w:hint="eastAsia" w:ascii="仿宋_GB2312" w:hAnsi="仿宋_GB2312" w:eastAsia="仿宋_GB2312" w:cs="仿宋_GB2312"/>
          <w:sz w:val="32"/>
          <w:szCs w:val="32"/>
          <w:lang w:eastAsia="zh-CN"/>
        </w:rPr>
        <w:t>。</w:t>
      </w:r>
    </w:p>
    <w:p w14:paraId="1F8A04B4">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（五）监督保障方面</w:t>
      </w:r>
    </w:p>
    <w:p w14:paraId="05397E7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进一步完善政府信息公开工作机制，及时调整局政府信息工作领导小组成员，确保各项工作责任到人、落实到位。组织召开政府信息公开工作专题会议，确保各项工作及时推进到位；组织开展政府信息公开工作培训，不断提高工作人员工作能力和水平，配备政府信息公开专职工作人员1名，保障工作顺利开展。同时加强日常督导力度，定期对政府网站信息的发布情况开展检查。</w:t>
      </w:r>
    </w:p>
    <w:p w14:paraId="73CD11B4">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18" w:firstLineChars="200"/>
        <w:jc w:val="both"/>
        <w:textAlignment w:val="auto"/>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10"/>
        <w:tblW w:w="8824" w:type="dxa"/>
        <w:tblInd w:w="0" w:type="dxa"/>
        <w:tblLayout w:type="fixed"/>
        <w:tblCellMar>
          <w:top w:w="0" w:type="dxa"/>
          <w:left w:w="108" w:type="dxa"/>
          <w:bottom w:w="0" w:type="dxa"/>
          <w:right w:w="108" w:type="dxa"/>
        </w:tblCellMar>
      </w:tblPr>
      <w:tblGrid>
        <w:gridCol w:w="2206"/>
        <w:gridCol w:w="2206"/>
        <w:gridCol w:w="2206"/>
        <w:gridCol w:w="2206"/>
      </w:tblGrid>
      <w:tr w14:paraId="2B8999E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A4509A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825838A">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E7BDFA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14:paraId="0B24654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14:paraId="38E00CB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14:paraId="581411A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3E765B4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3B7664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14:paraId="62E26654">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08273375">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6C980C36">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14:paraId="56CD57C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1A46FA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14:paraId="340E3E95">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47CB8831">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c>
          <w:tcPr>
            <w:tcW w:w="2206" w:type="dxa"/>
            <w:tcBorders>
              <w:top w:val="nil"/>
              <w:left w:val="nil"/>
              <w:bottom w:val="single" w:color="auto" w:sz="8" w:space="0"/>
              <w:right w:val="single" w:color="auto" w:sz="8" w:space="0"/>
            </w:tcBorders>
            <w:shd w:val="clear" w:color="auto" w:fill="auto"/>
            <w:vAlign w:val="center"/>
          </w:tcPr>
          <w:p w14:paraId="2A247E42">
            <w:pPr>
              <w:widowControl/>
              <w:jc w:val="center"/>
              <w:rPr>
                <w:rFonts w:hint="eastAsia" w:ascii="仿宋_GB2312" w:hAnsi="宋体" w:eastAsia="仿宋_GB2312" w:cs="宋体"/>
                <w:color w:val="000000" w:themeColor="text1"/>
                <w:kern w:val="0"/>
                <w:szCs w:val="21"/>
                <w:lang w:eastAsia="zh-CN"/>
                <w14:textFill>
                  <w14:solidFill>
                    <w14:schemeClr w14:val="tx1"/>
                  </w14:solidFill>
                </w14:textFill>
              </w:rPr>
            </w:pPr>
            <w:r>
              <w:rPr>
                <w:rFonts w:hint="eastAsia" w:ascii="仿宋_GB2312" w:hAnsi="宋体" w:eastAsia="仿宋_GB2312" w:cs="宋体"/>
                <w:color w:val="000000" w:themeColor="text1"/>
                <w:kern w:val="0"/>
                <w:szCs w:val="21"/>
                <w:lang w:val="en-US" w:eastAsia="zh-CN"/>
                <w14:textFill>
                  <w14:solidFill>
                    <w14:schemeClr w14:val="tx1"/>
                  </w14:solidFill>
                </w14:textFill>
              </w:rPr>
              <w:t>0</w:t>
            </w:r>
          </w:p>
        </w:tc>
      </w:tr>
      <w:tr w14:paraId="2FD6F51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D58AE44">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第二十条第（五）项</w:t>
            </w:r>
          </w:p>
        </w:tc>
      </w:tr>
      <w:tr w14:paraId="43504AD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228833B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5AB7EF33">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34B45DA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5245CD9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E7D6C27">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0</w:t>
            </w:r>
          </w:p>
        </w:tc>
      </w:tr>
      <w:tr w14:paraId="1B0DF792">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C4FC4A5">
            <w:pPr>
              <w:widowControl/>
              <w:jc w:val="center"/>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第二十条第（六）项</w:t>
            </w:r>
          </w:p>
        </w:tc>
      </w:tr>
      <w:tr w14:paraId="5B36ECFB">
        <w:tblPrEx>
          <w:tblCellMar>
            <w:top w:w="0" w:type="dxa"/>
            <w:left w:w="108" w:type="dxa"/>
            <w:bottom w:w="0" w:type="dxa"/>
            <w:right w:w="108" w:type="dxa"/>
          </w:tblCellMar>
        </w:tblPrEx>
        <w:trPr>
          <w:trHeight w:val="549"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1F2A899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63B85968">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本年处理决定数量</w:t>
            </w:r>
          </w:p>
        </w:tc>
      </w:tr>
      <w:tr w14:paraId="403CF1F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0807197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4131507F">
            <w:pPr>
              <w:widowControl/>
              <w:jc w:val="center"/>
              <w:rPr>
                <w:rFonts w:hint="eastAsia" w:ascii="仿宋_GB2312" w:hAnsi="Calibri" w:eastAsia="仿宋_GB2312" w:cs="Calibri"/>
                <w:color w:val="000000" w:themeColor="text1"/>
                <w:kern w:val="0"/>
                <w:szCs w:val="21"/>
                <w:lang w:eastAsia="zh-CN"/>
                <w14:textFill>
                  <w14:solidFill>
                    <w14:schemeClr w14:val="tx1"/>
                  </w14:solidFill>
                </w14:textFill>
              </w:rPr>
            </w:pPr>
            <w:r>
              <w:rPr>
                <w:rFonts w:hint="eastAsia" w:ascii="仿宋_GB2312" w:hAnsi="Calibri" w:eastAsia="仿宋_GB2312" w:cs="Calibri"/>
                <w:color w:val="000000" w:themeColor="text1"/>
                <w:kern w:val="0"/>
                <w:szCs w:val="21"/>
                <w:lang w:val="en-US" w:eastAsia="zh-CN"/>
                <w14:textFill>
                  <w14:solidFill>
                    <w14:schemeClr w14:val="tx1"/>
                  </w14:solidFill>
                </w14:textFill>
              </w:rPr>
              <w:t>1</w:t>
            </w:r>
          </w:p>
        </w:tc>
      </w:tr>
      <w:tr w14:paraId="4D2A2E58">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64E7AA2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8E3F1EA">
            <w:pPr>
              <w:widowControl/>
              <w:jc w:val="center"/>
              <w:rPr>
                <w:rFonts w:hint="default" w:ascii="仿宋_GB2312" w:hAnsi="Calibri" w:eastAsia="仿宋_GB2312" w:cs="Calibri"/>
                <w:color w:val="000000" w:themeColor="text1"/>
                <w:kern w:val="0"/>
                <w:szCs w:val="21"/>
                <w:lang w:val="en-US" w:eastAsia="zh-CN"/>
                <w14:textFill>
                  <w14:solidFill>
                    <w14:schemeClr w14:val="tx1"/>
                  </w14:solidFill>
                </w14:textFill>
              </w:rPr>
            </w:pPr>
            <w:r>
              <w:rPr>
                <w:rFonts w:hint="eastAsia" w:ascii="仿宋_GB2312" w:hAnsi="Calibri" w:eastAsia="仿宋_GB2312" w:cs="Calibri"/>
                <w:color w:val="000000"/>
                <w:kern w:val="0"/>
                <w:szCs w:val="21"/>
                <w:lang w:val="en-US" w:eastAsia="zh-CN"/>
              </w:rPr>
              <w:t>1204</w:t>
            </w:r>
          </w:p>
        </w:tc>
      </w:tr>
      <w:tr w14:paraId="378B9BFB">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60F85E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4D124963">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3F23E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1BB037D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7F31BCFC">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14:paraId="7B08253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14:paraId="01D42A55">
            <w:pPr>
              <w:widowControl/>
              <w:jc w:val="center"/>
              <w:rPr>
                <w:rFonts w:hint="default" w:ascii="仿宋_GB2312" w:hAnsi="Calibri" w:eastAsia="仿宋_GB2312" w:cs="Calibri"/>
                <w:color w:val="000000"/>
                <w:kern w:val="0"/>
                <w:szCs w:val="21"/>
                <w:lang w:val="en-US"/>
              </w:rPr>
            </w:pPr>
            <w:r>
              <w:rPr>
                <w:rFonts w:hint="eastAsia" w:ascii="仿宋_GB2312" w:hAnsi="Calibri" w:eastAsia="仿宋_GB2312" w:cs="Calibri"/>
                <w:color w:val="000000"/>
                <w:kern w:val="0"/>
                <w:szCs w:val="21"/>
                <w:lang w:val="en-US" w:eastAsia="zh-CN"/>
              </w:rPr>
              <w:t>3.8110</w:t>
            </w:r>
          </w:p>
        </w:tc>
      </w:tr>
    </w:tbl>
    <w:p w14:paraId="20FD6CC6">
      <w:pPr>
        <w:keepNext w:val="0"/>
        <w:keepLines w:val="0"/>
        <w:pageBreakBefore w:val="0"/>
        <w:widowControl w:val="0"/>
        <w:kinsoku/>
        <w:wordWrap/>
        <w:overflowPunct/>
        <w:topLinePunct w:val="0"/>
        <w:autoSpaceDE/>
        <w:autoSpaceDN/>
        <w:bidi w:val="0"/>
        <w:adjustRightInd/>
        <w:snapToGrid/>
        <w:spacing w:line="560" w:lineRule="exact"/>
        <w:ind w:firstLine="618" w:firstLineChars="200"/>
        <w:textAlignment w:val="auto"/>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10"/>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14:paraId="53A857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87" w:type="dxa"/>
            <w:gridSpan w:val="3"/>
            <w:vMerge w:val="restart"/>
            <w:shd w:val="clear" w:color="auto" w:fill="auto"/>
            <w:tcMar>
              <w:left w:w="108" w:type="dxa"/>
              <w:right w:w="108" w:type="dxa"/>
            </w:tcMar>
            <w:vAlign w:val="center"/>
          </w:tcPr>
          <w:p w14:paraId="52D327D0">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58273C18">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54" w:type="dxa"/>
            <w:gridSpan w:val="7"/>
            <w:shd w:val="clear" w:color="auto" w:fill="auto"/>
            <w:tcMar>
              <w:left w:w="108" w:type="dxa"/>
              <w:right w:w="108" w:type="dxa"/>
            </w:tcMar>
            <w:vAlign w:val="center"/>
          </w:tcPr>
          <w:p w14:paraId="76C5232B">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37B5D3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87" w:type="dxa"/>
            <w:gridSpan w:val="3"/>
            <w:vMerge w:val="continue"/>
            <w:shd w:val="clear" w:color="auto" w:fill="auto"/>
            <w:tcMar>
              <w:left w:w="108" w:type="dxa"/>
              <w:right w:w="108" w:type="dxa"/>
            </w:tcMar>
            <w:vAlign w:val="center"/>
          </w:tcPr>
          <w:p w14:paraId="41E3D97A">
            <w:pPr>
              <w:jc w:val="center"/>
              <w:rPr>
                <w:rFonts w:ascii="仿宋_GB2312" w:eastAsia="仿宋_GB2312"/>
                <w:szCs w:val="21"/>
              </w:rPr>
            </w:pPr>
          </w:p>
        </w:tc>
        <w:tc>
          <w:tcPr>
            <w:tcW w:w="752" w:type="dxa"/>
            <w:vMerge w:val="restart"/>
            <w:shd w:val="clear" w:color="auto" w:fill="auto"/>
            <w:tcMar>
              <w:left w:w="108" w:type="dxa"/>
              <w:right w:w="108" w:type="dxa"/>
            </w:tcMar>
            <w:vAlign w:val="center"/>
          </w:tcPr>
          <w:p w14:paraId="02105B2C">
            <w:pPr>
              <w:widowControl/>
              <w:jc w:val="center"/>
              <w:rPr>
                <w:rFonts w:ascii="黑体" w:hAnsi="黑体" w:eastAsia="黑体"/>
                <w:szCs w:val="21"/>
              </w:rPr>
            </w:pPr>
            <w:r>
              <w:rPr>
                <w:rFonts w:hint="eastAsia" w:ascii="黑体" w:hAnsi="黑体" w:eastAsia="黑体"/>
                <w:kern w:val="0"/>
                <w:szCs w:val="21"/>
              </w:rPr>
              <w:t>自然人</w:t>
            </w:r>
          </w:p>
        </w:tc>
        <w:tc>
          <w:tcPr>
            <w:tcW w:w="3001" w:type="dxa"/>
            <w:gridSpan w:val="5"/>
            <w:shd w:val="clear" w:color="auto" w:fill="auto"/>
            <w:tcMar>
              <w:left w:w="108" w:type="dxa"/>
              <w:right w:w="108" w:type="dxa"/>
            </w:tcMar>
            <w:vAlign w:val="center"/>
          </w:tcPr>
          <w:p w14:paraId="7A673C94">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14:paraId="563641F4">
            <w:pPr>
              <w:widowControl/>
              <w:jc w:val="center"/>
              <w:rPr>
                <w:rFonts w:ascii="黑体" w:hAnsi="黑体" w:eastAsia="黑体"/>
                <w:szCs w:val="21"/>
              </w:rPr>
            </w:pPr>
            <w:r>
              <w:rPr>
                <w:rFonts w:hint="eastAsia" w:ascii="黑体" w:hAnsi="黑体" w:eastAsia="黑体"/>
                <w:kern w:val="0"/>
                <w:szCs w:val="21"/>
              </w:rPr>
              <w:t>总计</w:t>
            </w:r>
          </w:p>
        </w:tc>
      </w:tr>
      <w:tr w14:paraId="756803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87" w:type="dxa"/>
            <w:gridSpan w:val="3"/>
            <w:vMerge w:val="continue"/>
            <w:shd w:val="clear" w:color="auto" w:fill="auto"/>
            <w:tcMar>
              <w:left w:w="108" w:type="dxa"/>
              <w:right w:w="108" w:type="dxa"/>
            </w:tcMar>
            <w:vAlign w:val="center"/>
          </w:tcPr>
          <w:p w14:paraId="138A4805">
            <w:pPr>
              <w:jc w:val="center"/>
              <w:rPr>
                <w:rFonts w:ascii="仿宋_GB2312" w:eastAsia="仿宋_GB2312"/>
                <w:szCs w:val="21"/>
              </w:rPr>
            </w:pPr>
          </w:p>
        </w:tc>
        <w:tc>
          <w:tcPr>
            <w:tcW w:w="752" w:type="dxa"/>
            <w:vMerge w:val="continue"/>
            <w:shd w:val="clear" w:color="auto" w:fill="auto"/>
            <w:tcMar>
              <w:left w:w="108" w:type="dxa"/>
              <w:right w:w="108" w:type="dxa"/>
            </w:tcMar>
            <w:vAlign w:val="center"/>
          </w:tcPr>
          <w:p w14:paraId="75CA0EA4">
            <w:pPr>
              <w:jc w:val="center"/>
              <w:rPr>
                <w:rFonts w:ascii="黑体" w:hAnsi="黑体" w:eastAsia="黑体"/>
                <w:szCs w:val="21"/>
              </w:rPr>
            </w:pPr>
          </w:p>
        </w:tc>
        <w:tc>
          <w:tcPr>
            <w:tcW w:w="540" w:type="dxa"/>
            <w:shd w:val="clear" w:color="auto" w:fill="auto"/>
            <w:tcMar>
              <w:left w:w="108" w:type="dxa"/>
              <w:right w:w="108" w:type="dxa"/>
            </w:tcMar>
            <w:vAlign w:val="center"/>
          </w:tcPr>
          <w:p w14:paraId="426D161B">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14:paraId="77DC436E">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14:paraId="28DEEAEE">
            <w:pPr>
              <w:widowControl/>
              <w:spacing w:line="320" w:lineRule="exact"/>
              <w:ind w:left="-101" w:leftChars="-51" w:right="-101"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14:paraId="255A41E8">
            <w:pPr>
              <w:widowControl/>
              <w:spacing w:line="320" w:lineRule="exact"/>
              <w:ind w:left="-100" w:leftChars="-51" w:right="-101" w:rightChars="-51" w:hanging="1"/>
              <w:jc w:val="center"/>
              <w:rPr>
                <w:rFonts w:ascii="黑体" w:hAnsi="黑体" w:eastAsia="黑体"/>
                <w:szCs w:val="21"/>
              </w:rPr>
            </w:pPr>
            <w:r>
              <w:rPr>
                <w:rFonts w:hint="eastAsia" w:ascii="黑体" w:hAnsi="黑体" w:eastAsia="黑体"/>
                <w:kern w:val="0"/>
                <w:szCs w:val="21"/>
              </w:rPr>
              <w:t>法律服务机构</w:t>
            </w:r>
          </w:p>
        </w:tc>
        <w:tc>
          <w:tcPr>
            <w:tcW w:w="526" w:type="dxa"/>
            <w:shd w:val="clear" w:color="auto" w:fill="auto"/>
            <w:tcMar>
              <w:left w:w="108" w:type="dxa"/>
              <w:right w:w="108" w:type="dxa"/>
            </w:tcMar>
            <w:vAlign w:val="center"/>
          </w:tcPr>
          <w:p w14:paraId="7A3A6752">
            <w:pPr>
              <w:widowControl/>
              <w:spacing w:line="360" w:lineRule="exact"/>
              <w:ind w:left="-59" w:leftChars="-30" w:right="-127"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14:paraId="0470457A">
            <w:pPr>
              <w:jc w:val="center"/>
              <w:rPr>
                <w:rFonts w:ascii="仿宋_GB2312" w:eastAsia="仿宋_GB2312"/>
                <w:szCs w:val="21"/>
              </w:rPr>
            </w:pPr>
          </w:p>
        </w:tc>
      </w:tr>
      <w:tr w14:paraId="13C37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433302E0">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52" w:type="dxa"/>
            <w:shd w:val="clear" w:color="auto" w:fill="auto"/>
            <w:tcMar>
              <w:left w:w="108" w:type="dxa"/>
              <w:right w:w="108" w:type="dxa"/>
            </w:tcMar>
            <w:vAlign w:val="center"/>
          </w:tcPr>
          <w:p w14:paraId="7E0380DA">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22FC440C">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1EB7936A">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720" w:type="dxa"/>
            <w:shd w:val="clear" w:color="auto" w:fill="auto"/>
            <w:tcMar>
              <w:left w:w="108" w:type="dxa"/>
              <w:right w:w="108" w:type="dxa"/>
            </w:tcMar>
            <w:vAlign w:val="center"/>
          </w:tcPr>
          <w:p w14:paraId="7175B54E">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675" w:type="dxa"/>
            <w:shd w:val="clear" w:color="auto" w:fill="auto"/>
            <w:tcMar>
              <w:left w:w="108" w:type="dxa"/>
              <w:right w:w="108" w:type="dxa"/>
            </w:tcMar>
            <w:vAlign w:val="center"/>
          </w:tcPr>
          <w:p w14:paraId="637B979B">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26" w:type="dxa"/>
            <w:shd w:val="clear" w:color="auto" w:fill="auto"/>
            <w:tcMar>
              <w:left w:w="108" w:type="dxa"/>
              <w:right w:w="108" w:type="dxa"/>
            </w:tcMar>
            <w:vAlign w:val="center"/>
          </w:tcPr>
          <w:p w14:paraId="633A8B3F">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701" w:type="dxa"/>
            <w:shd w:val="clear" w:color="auto" w:fill="auto"/>
            <w:tcMar>
              <w:left w:w="108" w:type="dxa"/>
              <w:right w:w="108" w:type="dxa"/>
            </w:tcMar>
            <w:vAlign w:val="center"/>
          </w:tcPr>
          <w:p w14:paraId="060F45D4">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09AE92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87" w:type="dxa"/>
            <w:gridSpan w:val="3"/>
            <w:shd w:val="clear" w:color="auto" w:fill="auto"/>
            <w:tcMar>
              <w:left w:w="108" w:type="dxa"/>
              <w:right w:w="108" w:type="dxa"/>
            </w:tcMar>
            <w:vAlign w:val="center"/>
          </w:tcPr>
          <w:p w14:paraId="3CC8F43C">
            <w:pPr>
              <w:widowControl/>
              <w:rPr>
                <w:rFonts w:ascii="黑体" w:hAnsi="黑体" w:eastAsia="黑体"/>
                <w:szCs w:val="21"/>
              </w:rPr>
            </w:pPr>
            <w:r>
              <w:rPr>
                <w:rFonts w:hint="eastAsia" w:ascii="黑体" w:hAnsi="黑体" w:eastAsia="黑体"/>
                <w:kern w:val="0"/>
                <w:szCs w:val="21"/>
              </w:rPr>
              <w:t>二、上年结转政府信息公开申请数量</w:t>
            </w:r>
          </w:p>
        </w:tc>
        <w:tc>
          <w:tcPr>
            <w:tcW w:w="752" w:type="dxa"/>
            <w:shd w:val="clear" w:color="auto" w:fill="auto"/>
            <w:tcMar>
              <w:left w:w="108" w:type="dxa"/>
              <w:right w:w="108" w:type="dxa"/>
            </w:tcMar>
            <w:vAlign w:val="center"/>
          </w:tcPr>
          <w:p w14:paraId="5417C51D">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2CCDF5A2">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3A724B65">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720" w:type="dxa"/>
            <w:shd w:val="clear" w:color="auto" w:fill="auto"/>
            <w:tcMar>
              <w:left w:w="108" w:type="dxa"/>
              <w:right w:w="108" w:type="dxa"/>
            </w:tcMar>
            <w:vAlign w:val="center"/>
          </w:tcPr>
          <w:p w14:paraId="43C30481">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675" w:type="dxa"/>
            <w:shd w:val="clear" w:color="auto" w:fill="auto"/>
            <w:tcMar>
              <w:left w:w="108" w:type="dxa"/>
              <w:right w:w="108" w:type="dxa"/>
            </w:tcMar>
            <w:vAlign w:val="center"/>
          </w:tcPr>
          <w:p w14:paraId="6D6EC306">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26" w:type="dxa"/>
            <w:shd w:val="clear" w:color="auto" w:fill="auto"/>
            <w:tcMar>
              <w:left w:w="108" w:type="dxa"/>
              <w:right w:w="108" w:type="dxa"/>
            </w:tcMar>
            <w:vAlign w:val="center"/>
          </w:tcPr>
          <w:p w14:paraId="32984CF2">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701" w:type="dxa"/>
            <w:shd w:val="clear" w:color="auto" w:fill="auto"/>
            <w:tcMar>
              <w:left w:w="108" w:type="dxa"/>
              <w:right w:w="108" w:type="dxa"/>
            </w:tcMar>
            <w:vAlign w:val="center"/>
          </w:tcPr>
          <w:p w14:paraId="74128EFA">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1C0E6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restart"/>
            <w:shd w:val="clear" w:color="auto" w:fill="auto"/>
            <w:tcMar>
              <w:left w:w="108" w:type="dxa"/>
              <w:right w:w="108" w:type="dxa"/>
            </w:tcMar>
            <w:vAlign w:val="center"/>
          </w:tcPr>
          <w:p w14:paraId="2D0B99A9">
            <w:pPr>
              <w:widowControl/>
              <w:spacing w:after="180"/>
              <w:rPr>
                <w:rFonts w:ascii="黑体" w:hAnsi="黑体" w:eastAsia="黑体"/>
                <w:szCs w:val="21"/>
              </w:rPr>
            </w:pPr>
            <w:r>
              <w:rPr>
                <w:rFonts w:hint="eastAsia" w:ascii="黑体" w:hAnsi="黑体" w:eastAsia="黑体"/>
                <w:kern w:val="0"/>
                <w:szCs w:val="21"/>
              </w:rPr>
              <w:t>三、本年度办理结果</w:t>
            </w:r>
          </w:p>
        </w:tc>
        <w:tc>
          <w:tcPr>
            <w:tcW w:w="4672" w:type="dxa"/>
            <w:gridSpan w:val="2"/>
            <w:shd w:val="clear" w:color="auto" w:fill="auto"/>
            <w:tcMar>
              <w:left w:w="108" w:type="dxa"/>
              <w:right w:w="108" w:type="dxa"/>
            </w:tcMar>
            <w:vAlign w:val="center"/>
          </w:tcPr>
          <w:p w14:paraId="451D8833">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14:paraId="08E49367">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15A1A5E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0BC9C20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19C27CE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547BB54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32173A25">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3A066E8C">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6FBA76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4F500EA4">
            <w:pPr>
              <w:rPr>
                <w:rFonts w:ascii="黑体" w:hAnsi="黑体" w:eastAsia="黑体"/>
                <w:szCs w:val="21"/>
              </w:rPr>
            </w:pPr>
          </w:p>
        </w:tc>
        <w:tc>
          <w:tcPr>
            <w:tcW w:w="4672" w:type="dxa"/>
            <w:gridSpan w:val="2"/>
            <w:shd w:val="clear" w:color="auto" w:fill="auto"/>
            <w:tcMar>
              <w:left w:w="108" w:type="dxa"/>
              <w:right w:w="108" w:type="dxa"/>
            </w:tcMar>
            <w:vAlign w:val="center"/>
          </w:tcPr>
          <w:p w14:paraId="0B4B7D1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14:paraId="498CB333">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4293BE0E">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03D7510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7C31E160">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4766342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2AC6D108">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2CA4B017">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20B19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F959914">
            <w:pPr>
              <w:rPr>
                <w:rFonts w:ascii="黑体" w:hAnsi="黑体" w:eastAsia="黑体"/>
                <w:szCs w:val="21"/>
              </w:rPr>
            </w:pPr>
          </w:p>
        </w:tc>
        <w:tc>
          <w:tcPr>
            <w:tcW w:w="1699" w:type="dxa"/>
            <w:vMerge w:val="restart"/>
            <w:shd w:val="clear" w:color="auto" w:fill="auto"/>
            <w:tcMar>
              <w:left w:w="108" w:type="dxa"/>
              <w:right w:w="108" w:type="dxa"/>
            </w:tcMar>
            <w:vAlign w:val="center"/>
          </w:tcPr>
          <w:p w14:paraId="73FB48F8">
            <w:pPr>
              <w:widowControl/>
              <w:spacing w:line="200" w:lineRule="exact"/>
              <w:ind w:left="-101" w:leftChars="-51"/>
              <w:rPr>
                <w:rFonts w:ascii="黑体" w:hAnsi="黑体" w:eastAsia="黑体"/>
                <w:szCs w:val="21"/>
              </w:rPr>
            </w:pPr>
            <w:r>
              <w:rPr>
                <w:rFonts w:hint="eastAsia" w:ascii="黑体" w:hAnsi="黑体" w:eastAsia="黑体"/>
                <w:kern w:val="0"/>
                <w:szCs w:val="21"/>
              </w:rPr>
              <w:t>（三）不予公开</w:t>
            </w:r>
          </w:p>
        </w:tc>
        <w:tc>
          <w:tcPr>
            <w:tcW w:w="2973" w:type="dxa"/>
            <w:shd w:val="clear" w:color="auto" w:fill="auto"/>
            <w:tcMar>
              <w:left w:w="108" w:type="dxa"/>
              <w:right w:w="108" w:type="dxa"/>
            </w:tcMar>
            <w:vAlign w:val="center"/>
          </w:tcPr>
          <w:p w14:paraId="36663FA0">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752" w:type="dxa"/>
            <w:shd w:val="clear" w:color="auto" w:fill="auto"/>
            <w:tcMar>
              <w:left w:w="108" w:type="dxa"/>
              <w:right w:w="108" w:type="dxa"/>
            </w:tcMar>
            <w:vAlign w:val="center"/>
          </w:tcPr>
          <w:p w14:paraId="4B16FD1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684A978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29B931F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2C94620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3F89050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01A3CA20">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101942C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7F53C3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FEA76BC">
            <w:pPr>
              <w:rPr>
                <w:rFonts w:ascii="黑体" w:hAnsi="黑体" w:eastAsia="黑体"/>
                <w:szCs w:val="21"/>
              </w:rPr>
            </w:pPr>
          </w:p>
        </w:tc>
        <w:tc>
          <w:tcPr>
            <w:tcW w:w="1699" w:type="dxa"/>
            <w:vMerge w:val="continue"/>
            <w:shd w:val="clear" w:color="auto" w:fill="auto"/>
            <w:tcMar>
              <w:left w:w="108" w:type="dxa"/>
              <w:right w:w="108" w:type="dxa"/>
            </w:tcMar>
            <w:vAlign w:val="center"/>
          </w:tcPr>
          <w:p w14:paraId="4CFC694B">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4AB60801">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52" w:type="dxa"/>
            <w:shd w:val="clear" w:color="auto" w:fill="auto"/>
            <w:tcMar>
              <w:left w:w="108" w:type="dxa"/>
              <w:right w:w="108" w:type="dxa"/>
            </w:tcMar>
            <w:vAlign w:val="center"/>
          </w:tcPr>
          <w:p w14:paraId="515EDC5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5F5E5C7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0E79D43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77EB747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35FD0BC1">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1141607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11F0D5A8">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71859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C512313">
            <w:pPr>
              <w:rPr>
                <w:rFonts w:ascii="黑体" w:hAnsi="黑体" w:eastAsia="黑体"/>
                <w:szCs w:val="21"/>
              </w:rPr>
            </w:pPr>
          </w:p>
        </w:tc>
        <w:tc>
          <w:tcPr>
            <w:tcW w:w="1699" w:type="dxa"/>
            <w:vMerge w:val="continue"/>
            <w:shd w:val="clear" w:color="auto" w:fill="auto"/>
            <w:tcMar>
              <w:left w:w="108" w:type="dxa"/>
              <w:right w:w="108" w:type="dxa"/>
            </w:tcMar>
            <w:vAlign w:val="center"/>
          </w:tcPr>
          <w:p w14:paraId="35E8E4BB">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1087E291">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752" w:type="dxa"/>
            <w:shd w:val="clear" w:color="auto" w:fill="auto"/>
            <w:tcMar>
              <w:left w:w="108" w:type="dxa"/>
              <w:right w:w="108" w:type="dxa"/>
            </w:tcMar>
            <w:vAlign w:val="center"/>
          </w:tcPr>
          <w:p w14:paraId="25BD099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2CCD3FA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3CAC0B4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762A8FD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0200610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10894975">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1DBC42D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2A656D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0C655E1E">
            <w:pPr>
              <w:rPr>
                <w:rFonts w:ascii="黑体" w:hAnsi="黑体" w:eastAsia="黑体"/>
                <w:szCs w:val="21"/>
              </w:rPr>
            </w:pPr>
          </w:p>
        </w:tc>
        <w:tc>
          <w:tcPr>
            <w:tcW w:w="1699" w:type="dxa"/>
            <w:vMerge w:val="continue"/>
            <w:shd w:val="clear" w:color="auto" w:fill="auto"/>
            <w:tcMar>
              <w:left w:w="108" w:type="dxa"/>
              <w:right w:w="108" w:type="dxa"/>
            </w:tcMar>
            <w:vAlign w:val="center"/>
          </w:tcPr>
          <w:p w14:paraId="0A7C70AE">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19838D1A">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52" w:type="dxa"/>
            <w:shd w:val="clear" w:color="auto" w:fill="auto"/>
            <w:tcMar>
              <w:left w:w="108" w:type="dxa"/>
              <w:right w:w="108" w:type="dxa"/>
            </w:tcMar>
            <w:vAlign w:val="center"/>
          </w:tcPr>
          <w:p w14:paraId="62EFA370">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47EFA625">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1BEDDEA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563CA2C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7D6FF9EE">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07B7239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28365E8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1493CE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F11B2E8">
            <w:pPr>
              <w:rPr>
                <w:rFonts w:ascii="黑体" w:hAnsi="黑体" w:eastAsia="黑体"/>
                <w:szCs w:val="21"/>
              </w:rPr>
            </w:pPr>
          </w:p>
        </w:tc>
        <w:tc>
          <w:tcPr>
            <w:tcW w:w="1699" w:type="dxa"/>
            <w:vMerge w:val="continue"/>
            <w:shd w:val="clear" w:color="auto" w:fill="auto"/>
            <w:tcMar>
              <w:left w:w="108" w:type="dxa"/>
              <w:right w:w="108" w:type="dxa"/>
            </w:tcMar>
            <w:vAlign w:val="center"/>
          </w:tcPr>
          <w:p w14:paraId="2E92121A">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2C3C094">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52" w:type="dxa"/>
            <w:shd w:val="clear" w:color="auto" w:fill="auto"/>
            <w:tcMar>
              <w:left w:w="108" w:type="dxa"/>
              <w:right w:w="108" w:type="dxa"/>
            </w:tcMar>
            <w:vAlign w:val="center"/>
          </w:tcPr>
          <w:p w14:paraId="1EDD9AA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1BF8CFC1">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237A3D8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0383086E">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3987823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3E952BC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39FC0AD1">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128030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BBBA2A0">
            <w:pPr>
              <w:rPr>
                <w:rFonts w:ascii="黑体" w:hAnsi="黑体" w:eastAsia="黑体"/>
                <w:szCs w:val="21"/>
              </w:rPr>
            </w:pPr>
          </w:p>
        </w:tc>
        <w:tc>
          <w:tcPr>
            <w:tcW w:w="1699" w:type="dxa"/>
            <w:vMerge w:val="continue"/>
            <w:shd w:val="clear" w:color="auto" w:fill="auto"/>
            <w:tcMar>
              <w:left w:w="108" w:type="dxa"/>
              <w:right w:w="108" w:type="dxa"/>
            </w:tcMar>
            <w:vAlign w:val="center"/>
          </w:tcPr>
          <w:p w14:paraId="06B97E8D">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AE7336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52" w:type="dxa"/>
            <w:shd w:val="clear" w:color="auto" w:fill="auto"/>
            <w:tcMar>
              <w:left w:w="108" w:type="dxa"/>
              <w:right w:w="108" w:type="dxa"/>
            </w:tcMar>
            <w:vAlign w:val="center"/>
          </w:tcPr>
          <w:p w14:paraId="708DC71A">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70E7694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74FE959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2F9ADCC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4FE28BC9">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6341E7E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1582C8F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2CFFAE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4624627E">
            <w:pPr>
              <w:rPr>
                <w:rFonts w:ascii="黑体" w:hAnsi="黑体" w:eastAsia="黑体"/>
                <w:szCs w:val="21"/>
              </w:rPr>
            </w:pPr>
          </w:p>
        </w:tc>
        <w:tc>
          <w:tcPr>
            <w:tcW w:w="1699" w:type="dxa"/>
            <w:vMerge w:val="continue"/>
            <w:shd w:val="clear" w:color="auto" w:fill="auto"/>
            <w:tcMar>
              <w:left w:w="108" w:type="dxa"/>
              <w:right w:w="108" w:type="dxa"/>
            </w:tcMar>
            <w:vAlign w:val="center"/>
          </w:tcPr>
          <w:p w14:paraId="5E25D430">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4F501163">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752" w:type="dxa"/>
            <w:shd w:val="clear" w:color="auto" w:fill="auto"/>
            <w:tcMar>
              <w:left w:w="108" w:type="dxa"/>
              <w:right w:w="108" w:type="dxa"/>
            </w:tcMar>
            <w:vAlign w:val="center"/>
          </w:tcPr>
          <w:p w14:paraId="5E8E7CE1">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25F76CE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3C13B2F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6C308622">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57B5B7F5">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00C10D0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7B6FF9BA">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604E3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DF8E0EF">
            <w:pPr>
              <w:rPr>
                <w:rFonts w:ascii="黑体" w:hAnsi="黑体" w:eastAsia="黑体"/>
                <w:szCs w:val="21"/>
              </w:rPr>
            </w:pPr>
          </w:p>
        </w:tc>
        <w:tc>
          <w:tcPr>
            <w:tcW w:w="1699" w:type="dxa"/>
            <w:vMerge w:val="continue"/>
            <w:shd w:val="clear" w:color="auto" w:fill="auto"/>
            <w:tcMar>
              <w:left w:w="108" w:type="dxa"/>
              <w:right w:w="108" w:type="dxa"/>
            </w:tcMar>
            <w:vAlign w:val="center"/>
          </w:tcPr>
          <w:p w14:paraId="5F9EE043">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92A580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52" w:type="dxa"/>
            <w:shd w:val="clear" w:color="auto" w:fill="auto"/>
            <w:tcMar>
              <w:left w:w="108" w:type="dxa"/>
              <w:right w:w="108" w:type="dxa"/>
            </w:tcMar>
            <w:vAlign w:val="center"/>
          </w:tcPr>
          <w:p w14:paraId="1B00453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472D667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7DAE61EC">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06F575FE">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2F773ED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54ECF180">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0D2F77F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023EB7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2956242">
            <w:pPr>
              <w:rPr>
                <w:rFonts w:ascii="黑体" w:hAnsi="黑体" w:eastAsia="黑体"/>
                <w:szCs w:val="21"/>
              </w:rPr>
            </w:pPr>
          </w:p>
        </w:tc>
        <w:tc>
          <w:tcPr>
            <w:tcW w:w="1699" w:type="dxa"/>
            <w:vMerge w:val="restart"/>
            <w:shd w:val="clear" w:color="auto" w:fill="auto"/>
            <w:tcMar>
              <w:left w:w="108" w:type="dxa"/>
              <w:right w:w="108" w:type="dxa"/>
            </w:tcMar>
            <w:vAlign w:val="center"/>
          </w:tcPr>
          <w:p w14:paraId="0F47F490">
            <w:pPr>
              <w:widowControl/>
              <w:spacing w:line="200" w:lineRule="exact"/>
              <w:ind w:left="-101" w:leftChars="-51"/>
              <w:rPr>
                <w:rFonts w:ascii="黑体" w:hAnsi="黑体" w:eastAsia="黑体"/>
                <w:szCs w:val="21"/>
              </w:rPr>
            </w:pPr>
            <w:r>
              <w:rPr>
                <w:rFonts w:hint="eastAsia" w:ascii="黑体" w:hAnsi="黑体" w:eastAsia="黑体"/>
                <w:kern w:val="0"/>
                <w:szCs w:val="21"/>
              </w:rPr>
              <w:t>（四）无法提供</w:t>
            </w:r>
          </w:p>
        </w:tc>
        <w:tc>
          <w:tcPr>
            <w:tcW w:w="2973" w:type="dxa"/>
            <w:shd w:val="clear" w:color="auto" w:fill="auto"/>
            <w:tcMar>
              <w:left w:w="108" w:type="dxa"/>
              <w:right w:w="108" w:type="dxa"/>
            </w:tcMar>
            <w:vAlign w:val="center"/>
          </w:tcPr>
          <w:p w14:paraId="2D0D0E83">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52" w:type="dxa"/>
            <w:shd w:val="clear" w:color="auto" w:fill="auto"/>
            <w:tcMar>
              <w:left w:w="108" w:type="dxa"/>
              <w:right w:w="108" w:type="dxa"/>
            </w:tcMar>
            <w:vAlign w:val="center"/>
          </w:tcPr>
          <w:p w14:paraId="579A72D9">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7BC22BA9">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62EE7EF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7F685F11">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281F93C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40CA6B6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60DF1DB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3ADD9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6DAE5CBF">
            <w:pPr>
              <w:rPr>
                <w:rFonts w:ascii="黑体" w:hAnsi="黑体" w:eastAsia="黑体"/>
                <w:szCs w:val="21"/>
              </w:rPr>
            </w:pPr>
          </w:p>
        </w:tc>
        <w:tc>
          <w:tcPr>
            <w:tcW w:w="1699" w:type="dxa"/>
            <w:vMerge w:val="continue"/>
            <w:shd w:val="clear" w:color="auto" w:fill="auto"/>
            <w:tcMar>
              <w:left w:w="108" w:type="dxa"/>
              <w:right w:w="108" w:type="dxa"/>
            </w:tcMar>
            <w:vAlign w:val="center"/>
          </w:tcPr>
          <w:p w14:paraId="6BB3A0A8">
            <w:pPr>
              <w:spacing w:line="200" w:lineRule="exact"/>
              <w:ind w:left="-101" w:leftChars="-51"/>
              <w:rPr>
                <w:rFonts w:ascii="黑体" w:hAnsi="黑体" w:eastAsia="黑体"/>
                <w:szCs w:val="21"/>
              </w:rPr>
            </w:pPr>
          </w:p>
        </w:tc>
        <w:tc>
          <w:tcPr>
            <w:tcW w:w="2973" w:type="dxa"/>
            <w:shd w:val="clear" w:color="auto" w:fill="auto"/>
            <w:tcMar>
              <w:left w:w="108" w:type="dxa"/>
              <w:right w:w="108" w:type="dxa"/>
            </w:tcMar>
            <w:vAlign w:val="center"/>
          </w:tcPr>
          <w:p w14:paraId="3191C69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52" w:type="dxa"/>
            <w:shd w:val="clear" w:color="auto" w:fill="auto"/>
            <w:tcMar>
              <w:left w:w="108" w:type="dxa"/>
              <w:right w:w="108" w:type="dxa"/>
            </w:tcMar>
            <w:vAlign w:val="center"/>
          </w:tcPr>
          <w:p w14:paraId="6BBD3D9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7995816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35557F9C">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571C7232">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475F797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35B699A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6D2A19C2">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3659B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151F441E">
            <w:pPr>
              <w:rPr>
                <w:rFonts w:ascii="黑体" w:hAnsi="黑体" w:eastAsia="黑体"/>
                <w:szCs w:val="21"/>
              </w:rPr>
            </w:pPr>
          </w:p>
        </w:tc>
        <w:tc>
          <w:tcPr>
            <w:tcW w:w="1699" w:type="dxa"/>
            <w:vMerge w:val="continue"/>
            <w:shd w:val="clear" w:color="auto" w:fill="auto"/>
            <w:tcMar>
              <w:left w:w="108" w:type="dxa"/>
              <w:right w:w="108" w:type="dxa"/>
            </w:tcMar>
            <w:vAlign w:val="center"/>
          </w:tcPr>
          <w:p w14:paraId="470165DA">
            <w:pPr>
              <w:spacing w:line="200" w:lineRule="exact"/>
              <w:ind w:left="-101" w:leftChars="-51"/>
              <w:rPr>
                <w:rFonts w:ascii="黑体" w:hAnsi="黑体" w:eastAsia="黑体"/>
                <w:szCs w:val="21"/>
              </w:rPr>
            </w:pPr>
          </w:p>
        </w:tc>
        <w:tc>
          <w:tcPr>
            <w:tcW w:w="2973" w:type="dxa"/>
            <w:shd w:val="clear" w:color="auto" w:fill="auto"/>
            <w:tcMar>
              <w:left w:w="108" w:type="dxa"/>
              <w:right w:w="108" w:type="dxa"/>
            </w:tcMar>
            <w:vAlign w:val="center"/>
          </w:tcPr>
          <w:p w14:paraId="2B77E1B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52" w:type="dxa"/>
            <w:shd w:val="clear" w:color="auto" w:fill="auto"/>
            <w:tcMar>
              <w:left w:w="108" w:type="dxa"/>
              <w:right w:w="108" w:type="dxa"/>
            </w:tcMar>
            <w:vAlign w:val="center"/>
          </w:tcPr>
          <w:p w14:paraId="0446EA4A">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4756786C">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3E773972">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7D86603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3E43B8E2">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34A38278">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6431C43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666D60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5F7E3770">
            <w:pPr>
              <w:rPr>
                <w:rFonts w:ascii="黑体" w:hAnsi="黑体" w:eastAsia="黑体"/>
                <w:szCs w:val="21"/>
              </w:rPr>
            </w:pPr>
          </w:p>
        </w:tc>
        <w:tc>
          <w:tcPr>
            <w:tcW w:w="1699" w:type="dxa"/>
            <w:vMerge w:val="restart"/>
            <w:shd w:val="clear" w:color="auto" w:fill="auto"/>
            <w:tcMar>
              <w:left w:w="108" w:type="dxa"/>
              <w:right w:w="108" w:type="dxa"/>
            </w:tcMar>
            <w:vAlign w:val="center"/>
          </w:tcPr>
          <w:p w14:paraId="3D4C128B">
            <w:pPr>
              <w:widowControl/>
              <w:spacing w:line="200" w:lineRule="exact"/>
              <w:ind w:left="-101" w:leftChars="-51"/>
              <w:rPr>
                <w:rFonts w:ascii="黑体" w:hAnsi="黑体" w:eastAsia="黑体"/>
                <w:szCs w:val="21"/>
              </w:rPr>
            </w:pPr>
            <w:r>
              <w:rPr>
                <w:rFonts w:hint="eastAsia" w:ascii="黑体" w:hAnsi="黑体" w:eastAsia="黑体"/>
                <w:kern w:val="0"/>
                <w:szCs w:val="21"/>
              </w:rPr>
              <w:t>（五）不予处理</w:t>
            </w:r>
          </w:p>
        </w:tc>
        <w:tc>
          <w:tcPr>
            <w:tcW w:w="2973" w:type="dxa"/>
            <w:shd w:val="clear" w:color="auto" w:fill="auto"/>
            <w:tcMar>
              <w:left w:w="108" w:type="dxa"/>
              <w:right w:w="108" w:type="dxa"/>
            </w:tcMar>
            <w:vAlign w:val="center"/>
          </w:tcPr>
          <w:p w14:paraId="738EF42A">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52" w:type="dxa"/>
            <w:shd w:val="clear" w:color="auto" w:fill="auto"/>
            <w:tcMar>
              <w:left w:w="108" w:type="dxa"/>
              <w:right w:w="108" w:type="dxa"/>
            </w:tcMar>
            <w:vAlign w:val="center"/>
          </w:tcPr>
          <w:p w14:paraId="4857014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3321C97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3AC7341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5D08C318">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3A54C80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4254BDA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799FA411">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74C85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286A2B06">
            <w:pPr>
              <w:rPr>
                <w:rFonts w:ascii="黑体" w:hAnsi="黑体" w:eastAsia="黑体"/>
                <w:szCs w:val="21"/>
              </w:rPr>
            </w:pPr>
          </w:p>
        </w:tc>
        <w:tc>
          <w:tcPr>
            <w:tcW w:w="1699" w:type="dxa"/>
            <w:vMerge w:val="continue"/>
            <w:shd w:val="clear" w:color="auto" w:fill="auto"/>
            <w:tcMar>
              <w:left w:w="108" w:type="dxa"/>
              <w:right w:w="108" w:type="dxa"/>
            </w:tcMar>
            <w:vAlign w:val="center"/>
          </w:tcPr>
          <w:p w14:paraId="043CAA85">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BD8AD06">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752" w:type="dxa"/>
            <w:shd w:val="clear" w:color="auto" w:fill="auto"/>
            <w:tcMar>
              <w:left w:w="108" w:type="dxa"/>
              <w:right w:w="108" w:type="dxa"/>
            </w:tcMar>
            <w:vAlign w:val="center"/>
          </w:tcPr>
          <w:p w14:paraId="3B5364DA">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6E121559">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069932A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6A96AE27">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3A967CA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0CCA6F6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556F0E48">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510337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5" w:type="dxa"/>
            <w:vMerge w:val="continue"/>
            <w:shd w:val="clear" w:color="auto" w:fill="auto"/>
            <w:tcMar>
              <w:left w:w="108" w:type="dxa"/>
              <w:right w:w="108" w:type="dxa"/>
            </w:tcMar>
            <w:vAlign w:val="center"/>
          </w:tcPr>
          <w:p w14:paraId="309C7FB9">
            <w:pPr>
              <w:rPr>
                <w:rFonts w:ascii="黑体" w:hAnsi="黑体" w:eastAsia="黑体"/>
                <w:szCs w:val="21"/>
              </w:rPr>
            </w:pPr>
          </w:p>
        </w:tc>
        <w:tc>
          <w:tcPr>
            <w:tcW w:w="1699" w:type="dxa"/>
            <w:vMerge w:val="continue"/>
            <w:shd w:val="clear" w:color="auto" w:fill="auto"/>
            <w:tcMar>
              <w:left w:w="108" w:type="dxa"/>
              <w:right w:w="108" w:type="dxa"/>
            </w:tcMar>
            <w:vAlign w:val="center"/>
          </w:tcPr>
          <w:p w14:paraId="454B8E28">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29BD9A97">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752" w:type="dxa"/>
            <w:shd w:val="clear" w:color="auto" w:fill="auto"/>
            <w:tcMar>
              <w:left w:w="108" w:type="dxa"/>
              <w:right w:w="108" w:type="dxa"/>
            </w:tcMar>
            <w:vAlign w:val="center"/>
          </w:tcPr>
          <w:p w14:paraId="1595AA6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42BBA7CA">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1ED5D2DC">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13383FE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477426F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6A3FB65C">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2C0AB8E8">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5C2FFF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5" w:type="dxa"/>
            <w:vMerge w:val="continue"/>
            <w:shd w:val="clear" w:color="auto" w:fill="auto"/>
            <w:tcMar>
              <w:left w:w="108" w:type="dxa"/>
              <w:right w:w="108" w:type="dxa"/>
            </w:tcMar>
            <w:vAlign w:val="center"/>
          </w:tcPr>
          <w:p w14:paraId="7F7D2969">
            <w:pPr>
              <w:rPr>
                <w:rFonts w:ascii="黑体" w:hAnsi="黑体" w:eastAsia="黑体"/>
                <w:szCs w:val="21"/>
              </w:rPr>
            </w:pPr>
          </w:p>
        </w:tc>
        <w:tc>
          <w:tcPr>
            <w:tcW w:w="1699" w:type="dxa"/>
            <w:vMerge w:val="continue"/>
            <w:shd w:val="clear" w:color="auto" w:fill="auto"/>
            <w:tcMar>
              <w:left w:w="108" w:type="dxa"/>
              <w:right w:w="108" w:type="dxa"/>
            </w:tcMar>
            <w:vAlign w:val="center"/>
          </w:tcPr>
          <w:p w14:paraId="36A2C1E9">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5CAA27F1">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752" w:type="dxa"/>
            <w:shd w:val="clear" w:color="auto" w:fill="auto"/>
            <w:tcMar>
              <w:left w:w="108" w:type="dxa"/>
              <w:right w:w="108" w:type="dxa"/>
            </w:tcMar>
            <w:vAlign w:val="center"/>
          </w:tcPr>
          <w:p w14:paraId="3877B2C8">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5ECC70A0">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3F6A028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71F417B9">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2BFD151C">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53A01B8A">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46C9B405">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24938C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6F1316BE">
            <w:pPr>
              <w:rPr>
                <w:rFonts w:ascii="黑体" w:hAnsi="黑体" w:eastAsia="黑体"/>
                <w:szCs w:val="21"/>
              </w:rPr>
            </w:pPr>
          </w:p>
        </w:tc>
        <w:tc>
          <w:tcPr>
            <w:tcW w:w="1699" w:type="dxa"/>
            <w:vMerge w:val="continue"/>
            <w:shd w:val="clear" w:color="auto" w:fill="auto"/>
            <w:tcMar>
              <w:left w:w="108" w:type="dxa"/>
              <w:right w:w="108" w:type="dxa"/>
            </w:tcMar>
            <w:vAlign w:val="center"/>
          </w:tcPr>
          <w:p w14:paraId="4785326D">
            <w:pPr>
              <w:spacing w:line="200" w:lineRule="exact"/>
              <w:rPr>
                <w:rFonts w:ascii="黑体" w:hAnsi="黑体" w:eastAsia="黑体"/>
                <w:szCs w:val="21"/>
              </w:rPr>
            </w:pPr>
          </w:p>
        </w:tc>
        <w:tc>
          <w:tcPr>
            <w:tcW w:w="2973" w:type="dxa"/>
            <w:shd w:val="clear" w:color="auto" w:fill="auto"/>
            <w:tcMar>
              <w:left w:w="108" w:type="dxa"/>
              <w:right w:w="108" w:type="dxa"/>
            </w:tcMar>
            <w:vAlign w:val="center"/>
          </w:tcPr>
          <w:p w14:paraId="427143C0">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2EE4B5DD">
            <w:pPr>
              <w:widowControl/>
              <w:spacing w:line="300" w:lineRule="exact"/>
              <w:ind w:firstLine="199"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752" w:type="dxa"/>
            <w:shd w:val="clear" w:color="auto" w:fill="auto"/>
            <w:tcMar>
              <w:left w:w="108" w:type="dxa"/>
              <w:right w:w="108" w:type="dxa"/>
            </w:tcMar>
            <w:vAlign w:val="center"/>
          </w:tcPr>
          <w:p w14:paraId="12A742EA">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7ACDBB9E">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4C0FD6DC">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3E08D52A">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3E543D36">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1D76D0A2">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4D8C6360">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38FE5B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A079B2E">
            <w:pPr>
              <w:rPr>
                <w:rFonts w:ascii="黑体" w:hAnsi="黑体" w:eastAsia="黑体"/>
                <w:szCs w:val="21"/>
              </w:rPr>
            </w:pPr>
          </w:p>
        </w:tc>
        <w:tc>
          <w:tcPr>
            <w:tcW w:w="1699" w:type="dxa"/>
            <w:vMerge w:val="restart"/>
            <w:shd w:val="clear" w:color="auto" w:fill="auto"/>
            <w:tcMar>
              <w:left w:w="108" w:type="dxa"/>
              <w:right w:w="108" w:type="dxa"/>
            </w:tcMar>
            <w:vAlign w:val="center"/>
          </w:tcPr>
          <w:p w14:paraId="534DC083">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3" w:type="dxa"/>
            <w:shd w:val="clear" w:color="auto" w:fill="auto"/>
            <w:vAlign w:val="center"/>
          </w:tcPr>
          <w:p w14:paraId="7786BAE4">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52" w:type="dxa"/>
            <w:shd w:val="clear" w:color="auto" w:fill="auto"/>
            <w:tcMar>
              <w:left w:w="108" w:type="dxa"/>
              <w:right w:w="108" w:type="dxa"/>
            </w:tcMar>
            <w:vAlign w:val="center"/>
          </w:tcPr>
          <w:p w14:paraId="4CFD918E">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05434661">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40" w:type="dxa"/>
            <w:shd w:val="clear" w:color="auto" w:fill="auto"/>
            <w:tcMar>
              <w:left w:w="108" w:type="dxa"/>
              <w:right w:w="108" w:type="dxa"/>
            </w:tcMar>
            <w:vAlign w:val="center"/>
          </w:tcPr>
          <w:p w14:paraId="1BC7A1C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61CD7EE0">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0E6C93F9">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76AF782E">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64467AEC">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r>
      <w:tr w14:paraId="5503ED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367BB66B">
            <w:pPr>
              <w:rPr>
                <w:rFonts w:ascii="黑体" w:hAnsi="黑体" w:eastAsia="黑体"/>
                <w:szCs w:val="21"/>
              </w:rPr>
            </w:pPr>
          </w:p>
        </w:tc>
        <w:tc>
          <w:tcPr>
            <w:tcW w:w="1699" w:type="dxa"/>
            <w:vMerge w:val="continue"/>
            <w:shd w:val="clear" w:color="auto" w:fill="auto"/>
            <w:tcMar>
              <w:left w:w="108" w:type="dxa"/>
              <w:right w:w="108" w:type="dxa"/>
            </w:tcMar>
            <w:vAlign w:val="center"/>
          </w:tcPr>
          <w:p w14:paraId="227109B0">
            <w:pPr>
              <w:widowControl/>
              <w:spacing w:line="300" w:lineRule="exact"/>
              <w:rPr>
                <w:rFonts w:ascii="黑体" w:hAnsi="黑体" w:eastAsia="黑体"/>
                <w:kern w:val="0"/>
                <w:szCs w:val="21"/>
              </w:rPr>
            </w:pPr>
          </w:p>
        </w:tc>
        <w:tc>
          <w:tcPr>
            <w:tcW w:w="2973" w:type="dxa"/>
            <w:shd w:val="clear" w:color="auto" w:fill="auto"/>
            <w:vAlign w:val="center"/>
          </w:tcPr>
          <w:p w14:paraId="6E424221">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52" w:type="dxa"/>
            <w:shd w:val="clear" w:color="auto" w:fill="auto"/>
            <w:tcMar>
              <w:left w:w="108" w:type="dxa"/>
              <w:right w:w="108" w:type="dxa"/>
            </w:tcMar>
            <w:vAlign w:val="center"/>
          </w:tcPr>
          <w:p w14:paraId="25B594C5">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18CEEE85">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2EA2559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6216DB3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099C7935">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5F4B4144">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4F6DB810">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463483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720552B7">
            <w:pPr>
              <w:rPr>
                <w:rFonts w:ascii="黑体" w:hAnsi="黑体" w:eastAsia="黑体"/>
                <w:szCs w:val="21"/>
              </w:rPr>
            </w:pPr>
          </w:p>
        </w:tc>
        <w:tc>
          <w:tcPr>
            <w:tcW w:w="1699" w:type="dxa"/>
            <w:vMerge w:val="continue"/>
            <w:shd w:val="clear" w:color="auto" w:fill="auto"/>
            <w:tcMar>
              <w:left w:w="108" w:type="dxa"/>
              <w:right w:w="108" w:type="dxa"/>
            </w:tcMar>
            <w:vAlign w:val="center"/>
          </w:tcPr>
          <w:p w14:paraId="6B0DEA0D">
            <w:pPr>
              <w:widowControl/>
              <w:spacing w:line="300" w:lineRule="exact"/>
              <w:rPr>
                <w:rFonts w:ascii="黑体" w:hAnsi="黑体" w:eastAsia="黑体"/>
                <w:kern w:val="0"/>
                <w:szCs w:val="21"/>
              </w:rPr>
            </w:pPr>
          </w:p>
        </w:tc>
        <w:tc>
          <w:tcPr>
            <w:tcW w:w="2973" w:type="dxa"/>
            <w:shd w:val="clear" w:color="auto" w:fill="auto"/>
            <w:vAlign w:val="center"/>
          </w:tcPr>
          <w:p w14:paraId="17ECD16F">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752" w:type="dxa"/>
            <w:shd w:val="clear" w:color="auto" w:fill="auto"/>
            <w:tcMar>
              <w:left w:w="108" w:type="dxa"/>
              <w:right w:w="108" w:type="dxa"/>
            </w:tcMar>
            <w:vAlign w:val="center"/>
          </w:tcPr>
          <w:p w14:paraId="269D0033">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49881E26">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26D3834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6EA06D0D">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452D1252">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15BB7FAA">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418F13CD">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3D36C5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5" w:type="dxa"/>
            <w:vMerge w:val="continue"/>
            <w:shd w:val="clear" w:color="auto" w:fill="auto"/>
            <w:tcMar>
              <w:left w:w="108" w:type="dxa"/>
              <w:right w:w="108" w:type="dxa"/>
            </w:tcMar>
            <w:vAlign w:val="center"/>
          </w:tcPr>
          <w:p w14:paraId="49B3B3E8">
            <w:pPr>
              <w:rPr>
                <w:rFonts w:ascii="黑体" w:hAnsi="黑体" w:eastAsia="黑体"/>
                <w:szCs w:val="21"/>
              </w:rPr>
            </w:pPr>
          </w:p>
        </w:tc>
        <w:tc>
          <w:tcPr>
            <w:tcW w:w="4672" w:type="dxa"/>
            <w:gridSpan w:val="2"/>
            <w:shd w:val="clear" w:color="auto" w:fill="auto"/>
            <w:tcMar>
              <w:left w:w="108" w:type="dxa"/>
              <w:right w:w="108" w:type="dxa"/>
            </w:tcMar>
            <w:vAlign w:val="center"/>
          </w:tcPr>
          <w:p w14:paraId="41868356">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52" w:type="dxa"/>
            <w:shd w:val="clear" w:color="auto" w:fill="auto"/>
            <w:tcMar>
              <w:left w:w="108" w:type="dxa"/>
              <w:right w:w="108" w:type="dxa"/>
            </w:tcMar>
            <w:vAlign w:val="center"/>
          </w:tcPr>
          <w:p w14:paraId="67AFBEDD">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66E1C8EF">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7F27A9D3">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44D91D25">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4009C34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4F5AD162">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12992A8F">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r w14:paraId="79405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87" w:type="dxa"/>
            <w:gridSpan w:val="3"/>
            <w:shd w:val="clear" w:color="auto" w:fill="auto"/>
            <w:tcMar>
              <w:left w:w="108" w:type="dxa"/>
              <w:right w:w="108" w:type="dxa"/>
            </w:tcMar>
            <w:vAlign w:val="center"/>
          </w:tcPr>
          <w:p w14:paraId="3D58F741">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52" w:type="dxa"/>
            <w:shd w:val="clear" w:color="auto" w:fill="auto"/>
            <w:tcMar>
              <w:left w:w="108" w:type="dxa"/>
              <w:right w:w="108" w:type="dxa"/>
            </w:tcMar>
            <w:vAlign w:val="center"/>
          </w:tcPr>
          <w:p w14:paraId="2C3BE129">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1A0B69AF">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c>
          <w:tcPr>
            <w:tcW w:w="540" w:type="dxa"/>
            <w:shd w:val="clear" w:color="auto" w:fill="auto"/>
            <w:tcMar>
              <w:left w:w="108" w:type="dxa"/>
              <w:right w:w="108" w:type="dxa"/>
            </w:tcMar>
            <w:vAlign w:val="center"/>
          </w:tcPr>
          <w:p w14:paraId="6F19E1BB">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20" w:type="dxa"/>
            <w:shd w:val="clear" w:color="auto" w:fill="auto"/>
            <w:tcMar>
              <w:left w:w="108" w:type="dxa"/>
              <w:right w:w="108" w:type="dxa"/>
            </w:tcMar>
            <w:vAlign w:val="center"/>
          </w:tcPr>
          <w:p w14:paraId="77524E6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675" w:type="dxa"/>
            <w:shd w:val="clear" w:color="auto" w:fill="auto"/>
            <w:tcMar>
              <w:left w:w="108" w:type="dxa"/>
              <w:right w:w="108" w:type="dxa"/>
            </w:tcMar>
            <w:vAlign w:val="center"/>
          </w:tcPr>
          <w:p w14:paraId="7444D998">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526" w:type="dxa"/>
            <w:shd w:val="clear" w:color="auto" w:fill="auto"/>
            <w:tcMar>
              <w:left w:w="108" w:type="dxa"/>
              <w:right w:w="108" w:type="dxa"/>
            </w:tcMar>
            <w:vAlign w:val="center"/>
          </w:tcPr>
          <w:p w14:paraId="5922043F">
            <w:pPr>
              <w:widowControl/>
              <w:spacing w:line="240" w:lineRule="exact"/>
              <w:jc w:val="center"/>
              <w:rPr>
                <w:rFonts w:ascii="仿宋_GB2312" w:eastAsia="仿宋_GB2312"/>
                <w:color w:val="auto"/>
                <w:szCs w:val="21"/>
              </w:rPr>
            </w:pPr>
            <w:r>
              <w:rPr>
                <w:rFonts w:hint="eastAsia" w:ascii="仿宋_GB2312" w:eastAsia="仿宋_GB2312"/>
                <w:color w:val="auto"/>
                <w:szCs w:val="21"/>
              </w:rPr>
              <w:t>0</w:t>
            </w:r>
          </w:p>
        </w:tc>
        <w:tc>
          <w:tcPr>
            <w:tcW w:w="701" w:type="dxa"/>
            <w:shd w:val="clear" w:color="auto" w:fill="auto"/>
            <w:tcMar>
              <w:left w:w="108" w:type="dxa"/>
              <w:right w:w="108" w:type="dxa"/>
            </w:tcMar>
            <w:vAlign w:val="center"/>
          </w:tcPr>
          <w:p w14:paraId="277CABFE">
            <w:pPr>
              <w:widowControl/>
              <w:spacing w:line="240" w:lineRule="exact"/>
              <w:jc w:val="center"/>
              <w:rPr>
                <w:rFonts w:hint="eastAsia" w:ascii="仿宋_GB2312" w:eastAsia="仿宋_GB2312"/>
                <w:color w:val="auto"/>
                <w:szCs w:val="21"/>
                <w:lang w:eastAsia="zh-CN"/>
              </w:rPr>
            </w:pPr>
            <w:r>
              <w:rPr>
                <w:rFonts w:hint="eastAsia" w:ascii="仿宋_GB2312" w:eastAsia="仿宋_GB2312"/>
                <w:color w:val="auto"/>
                <w:szCs w:val="21"/>
                <w:lang w:val="en-US" w:eastAsia="zh-CN"/>
              </w:rPr>
              <w:t>0</w:t>
            </w:r>
          </w:p>
        </w:tc>
      </w:tr>
    </w:tbl>
    <w:p w14:paraId="55BE1122">
      <w:pPr>
        <w:keepNext w:val="0"/>
        <w:keepLines w:val="0"/>
        <w:pageBreakBefore w:val="0"/>
        <w:widowControl w:val="0"/>
        <w:kinsoku/>
        <w:wordWrap/>
        <w:overflowPunct/>
        <w:topLinePunct w:val="0"/>
        <w:autoSpaceDE/>
        <w:autoSpaceDN/>
        <w:bidi w:val="0"/>
        <w:adjustRightInd/>
        <w:snapToGrid/>
        <w:spacing w:line="560" w:lineRule="exact"/>
        <w:ind w:firstLine="398" w:firstLineChars="200"/>
        <w:textAlignment w:val="auto"/>
        <w:rPr>
          <w:rFonts w:ascii="仿宋_GB2312" w:eastAsia="仿宋_GB2312"/>
          <w:sz w:val="32"/>
          <w:szCs w:val="32"/>
        </w:rPr>
      </w:pPr>
      <w:r>
        <w:rPr>
          <w:rFonts w:hint="eastAsia" w:ascii="仿宋_GB2312" w:hAnsi="Calibri" w:eastAsia="仿宋_GB2312" w:cs="Calibri"/>
          <w:color w:val="FF0000"/>
          <w:kern w:val="0"/>
          <w:szCs w:val="21"/>
        </w:rPr>
        <w:t xml:space="preserve">   </w:t>
      </w: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10"/>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24E1BF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D8B9C5">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12ADE7A">
            <w:pPr>
              <w:widowControl/>
              <w:jc w:val="center"/>
              <w:rPr>
                <w:rFonts w:ascii="黑体" w:hAnsi="黑体" w:eastAsia="黑体"/>
              </w:rPr>
            </w:pPr>
            <w:r>
              <w:rPr>
                <w:rFonts w:ascii="黑体" w:hAnsi="黑体" w:eastAsia="黑体"/>
                <w:kern w:val="0"/>
                <w:sz w:val="20"/>
              </w:rPr>
              <w:t>行政诉讼</w:t>
            </w:r>
          </w:p>
        </w:tc>
      </w:tr>
      <w:tr w14:paraId="3B29B6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1A1530">
            <w:pPr>
              <w:widowControl/>
              <w:ind w:left="-141" w:leftChars="-71" w:right="-161" w:rightChars="-81"/>
              <w:jc w:val="center"/>
              <w:rPr>
                <w:rFonts w:ascii="黑体" w:hAnsi="黑体" w:eastAsia="黑体"/>
                <w:kern w:val="0"/>
                <w:sz w:val="20"/>
              </w:rPr>
            </w:pPr>
            <w:r>
              <w:rPr>
                <w:rFonts w:ascii="黑体" w:hAnsi="黑体" w:eastAsia="黑体"/>
                <w:kern w:val="0"/>
                <w:sz w:val="20"/>
              </w:rPr>
              <w:t>结果</w:t>
            </w:r>
          </w:p>
          <w:p w14:paraId="30A60405">
            <w:pPr>
              <w:widowControl/>
              <w:ind w:left="-141" w:leftChars="-71" w:right="-161"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38DE33B">
            <w:pPr>
              <w:widowControl/>
              <w:ind w:left="-40" w:leftChars="-21" w:right="-125"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4F4F597">
            <w:pPr>
              <w:widowControl/>
              <w:ind w:left="-77" w:leftChars="-39" w:right="-91"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A1BA14">
            <w:pPr>
              <w:widowControl/>
              <w:ind w:left="-111" w:leftChars="-56" w:right="-111" w:rightChars="-56"/>
              <w:jc w:val="center"/>
              <w:rPr>
                <w:rFonts w:ascii="黑体" w:hAnsi="黑体" w:eastAsia="黑体"/>
                <w:kern w:val="0"/>
                <w:sz w:val="20"/>
              </w:rPr>
            </w:pPr>
            <w:r>
              <w:rPr>
                <w:rFonts w:ascii="黑体" w:hAnsi="黑体" w:eastAsia="黑体"/>
                <w:kern w:val="0"/>
                <w:sz w:val="20"/>
              </w:rPr>
              <w:t>尚未</w:t>
            </w:r>
          </w:p>
          <w:p w14:paraId="72B1D870">
            <w:pPr>
              <w:widowControl/>
              <w:ind w:left="-111" w:leftChars="-56" w:right="-111"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4EAB9A">
            <w:pPr>
              <w:widowControl/>
              <w:spacing w:line="320" w:lineRule="exact"/>
              <w:jc w:val="center"/>
              <w:rPr>
                <w:rFonts w:ascii="黑体" w:hAnsi="黑体" w:eastAsia="黑体"/>
                <w:kern w:val="0"/>
                <w:sz w:val="20"/>
              </w:rPr>
            </w:pPr>
            <w:r>
              <w:rPr>
                <w:rFonts w:ascii="黑体" w:hAnsi="黑体" w:eastAsia="黑体"/>
                <w:kern w:val="0"/>
                <w:sz w:val="20"/>
              </w:rPr>
              <w:t>总</w:t>
            </w:r>
          </w:p>
          <w:p w14:paraId="1ACF9C7C">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D5D5E8">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013A36">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14:paraId="51F0CE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5"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CADF98">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35E9249">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ECD120">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1844DF">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8A09DD">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636A47A9">
            <w:pPr>
              <w:widowControl/>
              <w:ind w:left="-99" w:leftChars="-50" w:right="-119"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B553834">
            <w:pPr>
              <w:widowControl/>
              <w:ind w:left="-81" w:leftChars="-41" w:right="-83"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165C981">
            <w:pPr>
              <w:widowControl/>
              <w:ind w:left="-119" w:leftChars="-60" w:right="-129" w:rightChars="-65"/>
              <w:jc w:val="center"/>
              <w:rPr>
                <w:rFonts w:ascii="黑体" w:hAnsi="黑体" w:eastAsia="黑体"/>
                <w:kern w:val="0"/>
                <w:sz w:val="20"/>
              </w:rPr>
            </w:pPr>
            <w:r>
              <w:rPr>
                <w:rFonts w:ascii="黑体" w:hAnsi="黑体" w:eastAsia="黑体"/>
                <w:kern w:val="0"/>
                <w:sz w:val="20"/>
              </w:rPr>
              <w:t>其他</w:t>
            </w:r>
          </w:p>
          <w:p w14:paraId="076E4088">
            <w:pPr>
              <w:widowControl/>
              <w:ind w:left="-119" w:leftChars="-60" w:right="-129"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AE09C2C">
            <w:pPr>
              <w:widowControl/>
              <w:ind w:left="-155" w:leftChars="-78" w:right="-145" w:rightChars="-73"/>
              <w:jc w:val="center"/>
              <w:rPr>
                <w:rFonts w:ascii="黑体" w:hAnsi="黑体" w:eastAsia="黑体"/>
                <w:kern w:val="0"/>
                <w:sz w:val="20"/>
              </w:rPr>
            </w:pPr>
            <w:r>
              <w:rPr>
                <w:rFonts w:ascii="黑体" w:hAnsi="黑体" w:eastAsia="黑体"/>
                <w:kern w:val="0"/>
                <w:sz w:val="20"/>
              </w:rPr>
              <w:t>尚未</w:t>
            </w:r>
          </w:p>
          <w:p w14:paraId="24DBF162">
            <w:pPr>
              <w:widowControl/>
              <w:ind w:left="-155" w:leftChars="-78" w:right="-145"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7E21049">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ED1152">
            <w:pPr>
              <w:widowControl/>
              <w:ind w:left="-93" w:leftChars="-47" w:right="-73"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76869B2">
            <w:pPr>
              <w:widowControl/>
              <w:ind w:left="-129" w:leftChars="-65" w:right="-117" w:rightChars="-59"/>
              <w:jc w:val="center"/>
              <w:rPr>
                <w:rFonts w:ascii="黑体" w:hAnsi="黑体" w:eastAsia="黑体"/>
                <w:kern w:val="0"/>
                <w:sz w:val="20"/>
              </w:rPr>
            </w:pPr>
            <w:r>
              <w:rPr>
                <w:rFonts w:ascii="黑体" w:hAnsi="黑体" w:eastAsia="黑体"/>
                <w:kern w:val="0"/>
                <w:sz w:val="20"/>
              </w:rPr>
              <w:t>结果</w:t>
            </w:r>
          </w:p>
          <w:p w14:paraId="6D1FBE5B">
            <w:pPr>
              <w:widowControl/>
              <w:ind w:left="-129" w:leftChars="-65" w:right="-117"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FCAFE1">
            <w:pPr>
              <w:widowControl/>
              <w:ind w:left="-164" w:leftChars="-83" w:right="-127" w:rightChars="-64" w:hanging="1"/>
              <w:jc w:val="center"/>
              <w:rPr>
                <w:rFonts w:ascii="黑体" w:hAnsi="黑体" w:eastAsia="黑体"/>
                <w:kern w:val="0"/>
                <w:sz w:val="20"/>
              </w:rPr>
            </w:pPr>
            <w:r>
              <w:rPr>
                <w:rFonts w:ascii="黑体" w:hAnsi="黑体" w:eastAsia="黑体"/>
                <w:kern w:val="0"/>
                <w:sz w:val="20"/>
              </w:rPr>
              <w:t>其他</w:t>
            </w:r>
          </w:p>
          <w:p w14:paraId="4A2C3506">
            <w:pPr>
              <w:widowControl/>
              <w:ind w:left="-164" w:leftChars="-83" w:right="-127"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AC0A433">
            <w:pPr>
              <w:widowControl/>
              <w:ind w:left="-63" w:leftChars="-33" w:right="-99"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473EC68">
            <w:pPr>
              <w:widowControl/>
              <w:jc w:val="center"/>
              <w:rPr>
                <w:rFonts w:ascii="黑体" w:hAnsi="黑体" w:eastAsia="黑体"/>
              </w:rPr>
            </w:pPr>
            <w:r>
              <w:rPr>
                <w:rFonts w:ascii="黑体" w:hAnsi="黑体" w:eastAsia="黑体"/>
                <w:kern w:val="0"/>
                <w:sz w:val="20"/>
              </w:rPr>
              <w:t>总计</w:t>
            </w:r>
          </w:p>
        </w:tc>
      </w:tr>
      <w:tr w14:paraId="0397D8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9"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A80642">
            <w:pPr>
              <w:widowControl/>
              <w:spacing w:after="180"/>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EA68329">
            <w:pPr>
              <w:widowControl/>
              <w:spacing w:after="180"/>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A0B0FA9">
            <w:pPr>
              <w:widowControl/>
              <w:spacing w:after="180"/>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E2A319D">
            <w:pPr>
              <w:widowControl/>
              <w:spacing w:after="180"/>
              <w:jc w:val="center"/>
              <w:rPr>
                <w:rFonts w:hint="eastAsia"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79E3728">
            <w:pPr>
              <w:widowControl/>
              <w:spacing w:after="180"/>
              <w:jc w:val="center"/>
              <w:rPr>
                <w:rFonts w:hint="eastAsia"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F9C54E8">
            <w:pPr>
              <w:widowControl/>
              <w:spacing w:after="180"/>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33B27DE">
            <w:pPr>
              <w:widowControl/>
              <w:spacing w:after="180"/>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B18404">
            <w:pPr>
              <w:widowControl/>
              <w:spacing w:after="180"/>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6FBBF89">
            <w:pPr>
              <w:widowControl/>
              <w:spacing w:after="180"/>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3C78560">
            <w:pPr>
              <w:widowControl/>
              <w:spacing w:after="180"/>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43E13CA">
            <w:pPr>
              <w:widowControl/>
              <w:spacing w:after="180"/>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E68DBDF">
            <w:pPr>
              <w:widowControl/>
              <w:spacing w:after="180"/>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AD0D547">
            <w:pPr>
              <w:widowControl/>
              <w:spacing w:after="180"/>
              <w:jc w:val="center"/>
              <w:rPr>
                <w:rFonts w:hint="eastAsia"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6C47245">
            <w:pPr>
              <w:widowControl/>
              <w:spacing w:after="180"/>
              <w:jc w:val="center"/>
              <w:rPr>
                <w:rFonts w:hint="eastAsia"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E8BE960">
            <w:pPr>
              <w:widowControl/>
              <w:spacing w:after="180"/>
              <w:jc w:val="center"/>
              <w:rPr>
                <w:rFonts w:hint="eastAsia" w:eastAsia="宋体"/>
                <w:lang w:val="en-US" w:eastAsia="zh-CN"/>
              </w:rPr>
            </w:pPr>
            <w:r>
              <w:rPr>
                <w:rFonts w:hint="eastAsia"/>
                <w:lang w:val="en-US" w:eastAsia="zh-CN"/>
              </w:rPr>
              <w:t>0</w:t>
            </w:r>
          </w:p>
        </w:tc>
      </w:tr>
    </w:tbl>
    <w:p w14:paraId="3449C4F0">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18" w:firstLineChars="200"/>
        <w:jc w:val="both"/>
        <w:textAlignment w:val="auto"/>
        <w:rPr>
          <w:rFonts w:hint="eastAsia" w:ascii="微软雅黑" w:hAnsi="微软雅黑" w:eastAsia="微软雅黑" w:cs="微软雅黑"/>
          <w:i w:val="0"/>
          <w:iCs w:val="0"/>
          <w:caps w:val="0"/>
          <w:color w:val="000000"/>
          <w:spacing w:val="0"/>
          <w:sz w:val="27"/>
          <w:szCs w:val="27"/>
        </w:rPr>
      </w:pPr>
      <w:r>
        <w:rPr>
          <w:rFonts w:hint="eastAsia" w:ascii="黑体" w:hAnsi="黑体" w:eastAsia="黑体" w:cs="黑体"/>
          <w:bCs/>
          <w:color w:val="333333"/>
          <w:sz w:val="32"/>
          <w:szCs w:val="32"/>
          <w:shd w:val="clear" w:color="auto" w:fill="FFFFFF"/>
          <w:lang w:bidi="ar"/>
        </w:rPr>
        <w:t>五、存在的主要问题及改进情况</w:t>
      </w:r>
      <w:r>
        <w:rPr>
          <w:rFonts w:hint="eastAsia" w:ascii="微软雅黑" w:hAnsi="微软雅黑" w:eastAsia="微软雅黑" w:cs="微软雅黑"/>
          <w:i w:val="0"/>
          <w:iCs w:val="0"/>
          <w:caps w:val="0"/>
          <w:color w:val="000000"/>
          <w:spacing w:val="0"/>
          <w:sz w:val="27"/>
          <w:szCs w:val="27"/>
          <w:shd w:val="clear" w:fill="FFFFFF"/>
        </w:rPr>
        <w:t xml:space="preserve">    </w:t>
      </w:r>
    </w:p>
    <w:p w14:paraId="3E62CD9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我局信息公开工作推进扎实有序，但仍然存在一些不足：一是政务公开合力有待进一步整合；二是专题专栏建设的质量有待提升。稳岗就业、社会保险专栏的互动性以及政策发布的时效性、针对性都有待提升。</w:t>
      </w:r>
    </w:p>
    <w:p w14:paraId="54337B2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8"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改进措施：一是加强对各科室、单位的指导，加大我局就业创业、社会保障、招考招聘、职称评审等领域信息的政务公开力度，合力推进全区人社政务公开工作高质量推进。二是做好专题专栏。严格按照政府信息公开标准化建设要求，对照稳岗就业、社会保险指标要求，加大对就业创业政策、就业服务、社会保险政策等公开力度，提升专题专栏的实用性。</w:t>
      </w:r>
    </w:p>
    <w:p w14:paraId="49F097C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18" w:firstLineChars="200"/>
        <w:jc w:val="both"/>
        <w:textAlignment w:val="auto"/>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六、其他需要报告的事项</w:t>
      </w:r>
    </w:p>
    <w:p w14:paraId="6E6189D7">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（一）收取信息处理费情况</w:t>
      </w:r>
    </w:p>
    <w:p w14:paraId="432D20E4">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2024年，区人社局不存在因信息处理收取相关费用的情况。</w:t>
      </w:r>
    </w:p>
    <w:p w14:paraId="05D6F546">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（二）落实上级年度政务公开工作要点情况</w:t>
      </w:r>
    </w:p>
    <w:p w14:paraId="0F3A650E">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按照</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2024年台儿庄区政务公开工作要点</w:t>
      </w:r>
      <w:r>
        <w:rPr>
          <w:rFonts w:hint="eastAsia" w:ascii="仿宋_GB2312" w:hAnsi="仿宋_GB2312" w:eastAsia="仿宋_GB2312" w:cs="仿宋_GB2312"/>
          <w:color w:val="auto"/>
          <w:kern w:val="2"/>
          <w:sz w:val="32"/>
          <w:szCs w:val="32"/>
          <w:lang w:val="en-US" w:eastAsia="zh-CN" w:bidi="ar-SA"/>
        </w:rPr>
        <w:t>》，人社</w:t>
      </w:r>
      <w:r>
        <w:rPr>
          <w:rFonts w:hint="default" w:ascii="仿宋_GB2312" w:hAnsi="仿宋_GB2312" w:eastAsia="仿宋_GB2312" w:cs="仿宋_GB2312"/>
          <w:color w:val="auto"/>
          <w:kern w:val="2"/>
          <w:sz w:val="32"/>
          <w:szCs w:val="32"/>
          <w:lang w:val="en-US" w:eastAsia="zh-CN" w:bidi="ar-SA"/>
        </w:rPr>
        <w:t>局主动认领政务公开重点工作</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及时调整本单位主动公开目录，严格执行政务公开制度规定，推动年度政务公开重点工作任务落实到位</w:t>
      </w:r>
      <w:r>
        <w:rPr>
          <w:rFonts w:hint="eastAsia" w:ascii="仿宋_GB2312" w:hAnsi="仿宋_GB2312" w:eastAsia="仿宋_GB2312" w:cs="仿宋_GB2312"/>
          <w:color w:val="auto"/>
          <w:kern w:val="2"/>
          <w:sz w:val="32"/>
          <w:szCs w:val="32"/>
          <w:lang w:val="en-US" w:eastAsia="zh-CN" w:bidi="ar-SA"/>
        </w:rPr>
        <w:t>。</w:t>
      </w:r>
    </w:p>
    <w:p w14:paraId="7674EC57">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（三）人大代表建议和政协提案办理结果公开情况</w:t>
      </w:r>
    </w:p>
    <w:p w14:paraId="253E7521">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2024年度区人社局承办市政协十一届三次会议提案6件，其中主办1件，协办5件；协办区十三届人大三次会议代表建议3件；承办区政协十届三次会议提案7件，其中主办2件，协办5件；</w:t>
      </w:r>
      <w:r>
        <w:rPr>
          <w:rFonts w:hint="default" w:ascii="仿宋_GB2312" w:hAnsi="仿宋_GB2312" w:eastAsia="仿宋_GB2312" w:cs="仿宋_GB2312"/>
          <w:color w:val="auto"/>
          <w:kern w:val="2"/>
          <w:sz w:val="32"/>
          <w:szCs w:val="32"/>
          <w:lang w:val="en-US" w:eastAsia="zh-CN" w:bidi="ar-SA"/>
        </w:rPr>
        <w:t>承办的</w:t>
      </w:r>
      <w:r>
        <w:rPr>
          <w:rFonts w:hint="eastAsia" w:ascii="仿宋_GB2312" w:hAnsi="仿宋_GB2312" w:eastAsia="仿宋_GB2312" w:cs="仿宋_GB2312"/>
          <w:color w:val="auto"/>
          <w:kern w:val="2"/>
          <w:sz w:val="32"/>
          <w:szCs w:val="32"/>
          <w:lang w:val="en-US" w:eastAsia="zh-CN" w:bidi="ar-SA"/>
        </w:rPr>
        <w:t>建议提案</w:t>
      </w:r>
      <w:r>
        <w:rPr>
          <w:rFonts w:hint="default" w:ascii="仿宋_GB2312" w:hAnsi="仿宋_GB2312" w:eastAsia="仿宋_GB2312" w:cs="仿宋_GB2312"/>
          <w:color w:val="auto"/>
          <w:kern w:val="2"/>
          <w:sz w:val="32"/>
          <w:szCs w:val="32"/>
          <w:lang w:val="en-US" w:eastAsia="zh-CN" w:bidi="ar-SA"/>
        </w:rPr>
        <w:t>均在规定的时限内答复完毕</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并</w:t>
      </w:r>
      <w:r>
        <w:rPr>
          <w:rFonts w:hint="eastAsia" w:ascii="仿宋_GB2312" w:hAnsi="仿宋_GB2312" w:eastAsia="仿宋_GB2312" w:cs="仿宋_GB2312"/>
          <w:color w:val="auto"/>
          <w:kern w:val="2"/>
          <w:sz w:val="32"/>
          <w:szCs w:val="32"/>
          <w:lang w:val="en-US" w:eastAsia="zh-CN" w:bidi="ar-SA"/>
        </w:rPr>
        <w:t>在区政府网站</w:t>
      </w:r>
      <w:r>
        <w:rPr>
          <w:rFonts w:hint="default" w:ascii="仿宋_GB2312" w:hAnsi="仿宋_GB2312" w:eastAsia="仿宋_GB2312" w:cs="仿宋_GB2312"/>
          <w:color w:val="auto"/>
          <w:kern w:val="2"/>
          <w:sz w:val="32"/>
          <w:szCs w:val="32"/>
          <w:lang w:val="en-US" w:eastAsia="zh-CN" w:bidi="ar-SA"/>
        </w:rPr>
        <w:t>建议提案办理</w:t>
      </w:r>
      <w:r>
        <w:rPr>
          <w:rFonts w:hint="eastAsia" w:ascii="仿宋_GB2312" w:hAnsi="仿宋_GB2312" w:eastAsia="仿宋_GB2312" w:cs="仿宋_GB2312"/>
          <w:color w:val="auto"/>
          <w:kern w:val="2"/>
          <w:sz w:val="32"/>
          <w:szCs w:val="32"/>
          <w:lang w:val="en-US" w:eastAsia="zh-CN" w:bidi="ar-SA"/>
        </w:rPr>
        <w:t>专栏进行了主动公开。</w:t>
      </w:r>
    </w:p>
    <w:p w14:paraId="68202A49">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（四）政务公开工作创新情况</w:t>
      </w:r>
    </w:p>
    <w:p w14:paraId="27A0498E">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4B32817C">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（五）本行政机关政府信息公开工作年度报告数据统计需要说明的事项</w:t>
      </w:r>
    </w:p>
    <w:p w14:paraId="3430C55C">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报告中所列数据的统计期限自2024年1月1日起至2024年12月31日止。</w:t>
      </w:r>
    </w:p>
    <w:p w14:paraId="5E0547C5">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（六）本行政机关认为需要报告的其他事项</w:t>
      </w:r>
    </w:p>
    <w:p w14:paraId="44C37442">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rPr>
        <w:t>。</w:t>
      </w:r>
    </w:p>
    <w:p w14:paraId="29EB843A">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（七）其他有关文件专门要求通过政府信息公开工作年度报告予以报告的事项</w:t>
      </w:r>
    </w:p>
    <w:p w14:paraId="77D8E9CF">
      <w:pPr>
        <w:keepNext w:val="0"/>
        <w:keepLines w:val="0"/>
        <w:pageBreakBefore w:val="0"/>
        <w:kinsoku/>
        <w:wordWrap/>
        <w:overflowPunct/>
        <w:topLinePunct w:val="0"/>
        <w:autoSpaceDE/>
        <w:autoSpaceDN/>
        <w:bidi w:val="0"/>
        <w:adjustRightInd/>
        <w:snapToGrid/>
        <w:spacing w:line="560" w:lineRule="exact"/>
        <w:ind w:firstLine="618"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无。</w:t>
      </w:r>
    </w:p>
    <w:p w14:paraId="4EAA42BE">
      <w:pPr>
        <w:keepNext w:val="0"/>
        <w:keepLines w:val="0"/>
        <w:pageBreakBefore w:val="0"/>
        <w:widowControl w:val="0"/>
        <w:kinsoku/>
        <w:wordWrap/>
        <w:overflowPunct/>
        <w:topLinePunct w:val="0"/>
        <w:autoSpaceDE/>
        <w:autoSpaceDN/>
        <w:bidi w:val="0"/>
        <w:adjustRightInd/>
        <w:snapToGrid/>
        <w:spacing w:line="554" w:lineRule="exact"/>
        <w:ind w:firstLine="3090" w:firstLineChars="10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枣庄市台儿庄区人力资源和社会</w:t>
      </w:r>
      <w:bookmarkStart w:id="10" w:name="_GoBack"/>
      <w:bookmarkEnd w:id="10"/>
      <w:r>
        <w:rPr>
          <w:rFonts w:hint="eastAsia" w:ascii="仿宋_GB2312" w:hAnsi="仿宋_GB2312" w:eastAsia="仿宋_GB2312" w:cs="仿宋_GB2312"/>
          <w:color w:val="auto"/>
          <w:kern w:val="2"/>
          <w:sz w:val="32"/>
          <w:szCs w:val="32"/>
          <w:lang w:val="en-US" w:eastAsia="zh-CN" w:bidi="ar-SA"/>
        </w:rPr>
        <w:t>保障局</w:t>
      </w:r>
    </w:p>
    <w:p w14:paraId="67F8B9A3">
      <w:pPr>
        <w:keepNext w:val="0"/>
        <w:keepLines w:val="0"/>
        <w:pageBreakBefore w:val="0"/>
        <w:widowControl w:val="0"/>
        <w:kinsoku/>
        <w:wordWrap/>
        <w:overflowPunct/>
        <w:topLinePunct w:val="0"/>
        <w:autoSpaceDE/>
        <w:autoSpaceDN/>
        <w:bidi w:val="0"/>
        <w:adjustRightInd/>
        <w:snapToGrid/>
        <w:spacing w:line="554" w:lineRule="exact"/>
        <w:ind w:firstLine="4635" w:firstLineChars="15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2025年1月16日</w:t>
      </w:r>
    </w:p>
    <w:sectPr>
      <w:footerReference r:id="rId3" w:type="default"/>
      <w:footerReference r:id="rId4" w:type="even"/>
      <w:pgSz w:w="11906" w:h="16838"/>
      <w:pgMar w:top="1985" w:right="1588" w:bottom="1985" w:left="1588" w:header="1418" w:footer="1701" w:gutter="0"/>
      <w:pgNumType w:fmt="decimalFullWidth"/>
      <w:cols w:space="425" w:num="1"/>
      <w:docGrid w:type="linesAndChars" w:linePitch="312" w:charSpace="-23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01BD6">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１</w:t>
    </w:r>
    <w:r>
      <w:rPr>
        <w:rStyle w:val="14"/>
        <w:rFonts w:ascii="宋体" w:hAnsi="宋体"/>
        <w:sz w:val="28"/>
        <w:szCs w:val="28"/>
      </w:rPr>
      <w:fldChar w:fldCharType="end"/>
    </w:r>
    <w:r>
      <w:rPr>
        <w:rStyle w:val="14"/>
        <w:rFonts w:hint="eastAsia" w:ascii="宋体" w:hAnsi="宋体"/>
        <w:sz w:val="28"/>
        <w:szCs w:val="28"/>
      </w:rPr>
      <w:t>—</w:t>
    </w:r>
  </w:p>
  <w:p w14:paraId="3F2D9BBE">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036BC">
    <w:pPr>
      <w:pStyle w:val="5"/>
      <w:framePr w:wrap="around" w:vAnchor="text" w:hAnchor="margin" w:xAlign="outside" w:y="1"/>
      <w:rPr>
        <w:rStyle w:val="14"/>
        <w:rFonts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２</w:t>
    </w:r>
    <w:r>
      <w:rPr>
        <w:rStyle w:val="14"/>
        <w:rFonts w:ascii="宋体" w:hAnsi="宋体"/>
        <w:sz w:val="28"/>
        <w:szCs w:val="28"/>
      </w:rPr>
      <w:fldChar w:fldCharType="end"/>
    </w:r>
    <w:r>
      <w:rPr>
        <w:rStyle w:val="14"/>
        <w:rFonts w:hint="eastAsia" w:ascii="宋体" w:hAnsi="宋体"/>
        <w:sz w:val="28"/>
        <w:szCs w:val="28"/>
      </w:rPr>
      <w:t>—</w:t>
    </w:r>
  </w:p>
  <w:p w14:paraId="0737F09A">
    <w:pPr>
      <w:pStyle w:val="5"/>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9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ZTc0MGM4NGI0M2ZjOTViYzU3MmU4ZWFkOWQzOGYifQ=="/>
  </w:docVars>
  <w:rsids>
    <w:rsidRoot w:val="34EC3754"/>
    <w:rsid w:val="00007884"/>
    <w:rsid w:val="00010E5E"/>
    <w:rsid w:val="00011885"/>
    <w:rsid w:val="00012AD2"/>
    <w:rsid w:val="000149C9"/>
    <w:rsid w:val="0003383F"/>
    <w:rsid w:val="00055660"/>
    <w:rsid w:val="00064D97"/>
    <w:rsid w:val="00070B65"/>
    <w:rsid w:val="00072FAA"/>
    <w:rsid w:val="00085421"/>
    <w:rsid w:val="00086B07"/>
    <w:rsid w:val="000B400B"/>
    <w:rsid w:val="00125E5D"/>
    <w:rsid w:val="0013605D"/>
    <w:rsid w:val="00161E76"/>
    <w:rsid w:val="001724D4"/>
    <w:rsid w:val="00184424"/>
    <w:rsid w:val="00191273"/>
    <w:rsid w:val="0019314E"/>
    <w:rsid w:val="001A191C"/>
    <w:rsid w:val="001A40FC"/>
    <w:rsid w:val="001A6002"/>
    <w:rsid w:val="001C327B"/>
    <w:rsid w:val="001C7B0B"/>
    <w:rsid w:val="001D6C2E"/>
    <w:rsid w:val="002060D8"/>
    <w:rsid w:val="00213ECC"/>
    <w:rsid w:val="002214B1"/>
    <w:rsid w:val="00233A82"/>
    <w:rsid w:val="00234842"/>
    <w:rsid w:val="002638AA"/>
    <w:rsid w:val="00264EC1"/>
    <w:rsid w:val="0026778D"/>
    <w:rsid w:val="00283F9A"/>
    <w:rsid w:val="00297859"/>
    <w:rsid w:val="002B359A"/>
    <w:rsid w:val="002C1314"/>
    <w:rsid w:val="002D2EAC"/>
    <w:rsid w:val="003037BF"/>
    <w:rsid w:val="003253BB"/>
    <w:rsid w:val="00335B30"/>
    <w:rsid w:val="00342068"/>
    <w:rsid w:val="003731D7"/>
    <w:rsid w:val="00375848"/>
    <w:rsid w:val="00385B2D"/>
    <w:rsid w:val="00395DB7"/>
    <w:rsid w:val="003C2B5F"/>
    <w:rsid w:val="003C6AC1"/>
    <w:rsid w:val="003F4DE7"/>
    <w:rsid w:val="004243E3"/>
    <w:rsid w:val="00433071"/>
    <w:rsid w:val="00442280"/>
    <w:rsid w:val="00453CF5"/>
    <w:rsid w:val="00473466"/>
    <w:rsid w:val="00480430"/>
    <w:rsid w:val="00490F2D"/>
    <w:rsid w:val="004A2534"/>
    <w:rsid w:val="004B2CF6"/>
    <w:rsid w:val="004D0B68"/>
    <w:rsid w:val="004D0E98"/>
    <w:rsid w:val="004E4913"/>
    <w:rsid w:val="004F1C10"/>
    <w:rsid w:val="004F3C24"/>
    <w:rsid w:val="005134F8"/>
    <w:rsid w:val="00525F70"/>
    <w:rsid w:val="00563169"/>
    <w:rsid w:val="005951B9"/>
    <w:rsid w:val="00596887"/>
    <w:rsid w:val="0059783E"/>
    <w:rsid w:val="00615B8E"/>
    <w:rsid w:val="00615FC5"/>
    <w:rsid w:val="0063273E"/>
    <w:rsid w:val="00633E28"/>
    <w:rsid w:val="006341BC"/>
    <w:rsid w:val="00650565"/>
    <w:rsid w:val="006866C2"/>
    <w:rsid w:val="00694D78"/>
    <w:rsid w:val="006A6E86"/>
    <w:rsid w:val="006B490A"/>
    <w:rsid w:val="006D08A9"/>
    <w:rsid w:val="006D68B0"/>
    <w:rsid w:val="006E144F"/>
    <w:rsid w:val="00721F90"/>
    <w:rsid w:val="00737B29"/>
    <w:rsid w:val="00757C12"/>
    <w:rsid w:val="00771949"/>
    <w:rsid w:val="00773B23"/>
    <w:rsid w:val="00783695"/>
    <w:rsid w:val="00785F9B"/>
    <w:rsid w:val="007946AA"/>
    <w:rsid w:val="007A1B05"/>
    <w:rsid w:val="007B6EA8"/>
    <w:rsid w:val="007D2680"/>
    <w:rsid w:val="007D6FD0"/>
    <w:rsid w:val="007F178A"/>
    <w:rsid w:val="007F7760"/>
    <w:rsid w:val="00823E63"/>
    <w:rsid w:val="00833F75"/>
    <w:rsid w:val="00836E77"/>
    <w:rsid w:val="00846BB9"/>
    <w:rsid w:val="008A64F6"/>
    <w:rsid w:val="008A6EFC"/>
    <w:rsid w:val="008B0483"/>
    <w:rsid w:val="008B3DF0"/>
    <w:rsid w:val="008B5C14"/>
    <w:rsid w:val="008B6F98"/>
    <w:rsid w:val="008C19A8"/>
    <w:rsid w:val="008C27E8"/>
    <w:rsid w:val="008F1751"/>
    <w:rsid w:val="00905220"/>
    <w:rsid w:val="00922449"/>
    <w:rsid w:val="009468B4"/>
    <w:rsid w:val="00947C77"/>
    <w:rsid w:val="00960E3E"/>
    <w:rsid w:val="00960F71"/>
    <w:rsid w:val="00981F81"/>
    <w:rsid w:val="009B249F"/>
    <w:rsid w:val="009B28F4"/>
    <w:rsid w:val="009D5B48"/>
    <w:rsid w:val="009D7471"/>
    <w:rsid w:val="009F1DA1"/>
    <w:rsid w:val="00A20FC1"/>
    <w:rsid w:val="00A440C3"/>
    <w:rsid w:val="00A5204A"/>
    <w:rsid w:val="00A57821"/>
    <w:rsid w:val="00A77767"/>
    <w:rsid w:val="00A910F9"/>
    <w:rsid w:val="00A95681"/>
    <w:rsid w:val="00AB7811"/>
    <w:rsid w:val="00AC09D9"/>
    <w:rsid w:val="00AC2572"/>
    <w:rsid w:val="00AC50B6"/>
    <w:rsid w:val="00AD1BBB"/>
    <w:rsid w:val="00AD2B6B"/>
    <w:rsid w:val="00AE7C3D"/>
    <w:rsid w:val="00B27A6F"/>
    <w:rsid w:val="00B34C83"/>
    <w:rsid w:val="00B3648A"/>
    <w:rsid w:val="00B47E3F"/>
    <w:rsid w:val="00B5161F"/>
    <w:rsid w:val="00B535BD"/>
    <w:rsid w:val="00B732D5"/>
    <w:rsid w:val="00B73AAB"/>
    <w:rsid w:val="00B91075"/>
    <w:rsid w:val="00B95944"/>
    <w:rsid w:val="00B966D7"/>
    <w:rsid w:val="00BA7AF3"/>
    <w:rsid w:val="00BB5890"/>
    <w:rsid w:val="00BB5BCC"/>
    <w:rsid w:val="00BC018C"/>
    <w:rsid w:val="00BC0762"/>
    <w:rsid w:val="00BC2CA6"/>
    <w:rsid w:val="00BC66C7"/>
    <w:rsid w:val="00BE287E"/>
    <w:rsid w:val="00BF0C53"/>
    <w:rsid w:val="00BF6EBE"/>
    <w:rsid w:val="00C06007"/>
    <w:rsid w:val="00C1399B"/>
    <w:rsid w:val="00C738DE"/>
    <w:rsid w:val="00C96A2C"/>
    <w:rsid w:val="00CA64AD"/>
    <w:rsid w:val="00CB5DEA"/>
    <w:rsid w:val="00CB5EBF"/>
    <w:rsid w:val="00CC032A"/>
    <w:rsid w:val="00CC18B8"/>
    <w:rsid w:val="00CC73DE"/>
    <w:rsid w:val="00CE4443"/>
    <w:rsid w:val="00CF01E0"/>
    <w:rsid w:val="00D102F5"/>
    <w:rsid w:val="00D15282"/>
    <w:rsid w:val="00D20841"/>
    <w:rsid w:val="00D22334"/>
    <w:rsid w:val="00D27C06"/>
    <w:rsid w:val="00D27E22"/>
    <w:rsid w:val="00D354B5"/>
    <w:rsid w:val="00D44A47"/>
    <w:rsid w:val="00D570FC"/>
    <w:rsid w:val="00DA126F"/>
    <w:rsid w:val="00DB7F54"/>
    <w:rsid w:val="00DC068A"/>
    <w:rsid w:val="00DC36D6"/>
    <w:rsid w:val="00DE5830"/>
    <w:rsid w:val="00E07C8E"/>
    <w:rsid w:val="00E15B1D"/>
    <w:rsid w:val="00E3414E"/>
    <w:rsid w:val="00E7122D"/>
    <w:rsid w:val="00E7157F"/>
    <w:rsid w:val="00E832B1"/>
    <w:rsid w:val="00E84F6C"/>
    <w:rsid w:val="00E8688E"/>
    <w:rsid w:val="00E86EF9"/>
    <w:rsid w:val="00EC4A06"/>
    <w:rsid w:val="00ED6C68"/>
    <w:rsid w:val="00EE04D0"/>
    <w:rsid w:val="00F10172"/>
    <w:rsid w:val="00F15D23"/>
    <w:rsid w:val="00F3164F"/>
    <w:rsid w:val="00F376A4"/>
    <w:rsid w:val="00F4601B"/>
    <w:rsid w:val="00F462A7"/>
    <w:rsid w:val="00F77054"/>
    <w:rsid w:val="00F81870"/>
    <w:rsid w:val="00F82DB8"/>
    <w:rsid w:val="00F9617C"/>
    <w:rsid w:val="00FD5392"/>
    <w:rsid w:val="00FE1A90"/>
    <w:rsid w:val="00FF476A"/>
    <w:rsid w:val="062A1BC9"/>
    <w:rsid w:val="07E004F0"/>
    <w:rsid w:val="085C148C"/>
    <w:rsid w:val="147E4E1C"/>
    <w:rsid w:val="15ED2002"/>
    <w:rsid w:val="169F72CB"/>
    <w:rsid w:val="1ADD5D48"/>
    <w:rsid w:val="22DE784D"/>
    <w:rsid w:val="23882EA4"/>
    <w:rsid w:val="23F7175F"/>
    <w:rsid w:val="2B300A31"/>
    <w:rsid w:val="34EC3754"/>
    <w:rsid w:val="3B5E96CB"/>
    <w:rsid w:val="3FE78241"/>
    <w:rsid w:val="42C6780A"/>
    <w:rsid w:val="43EE6950"/>
    <w:rsid w:val="468B275F"/>
    <w:rsid w:val="4A13569F"/>
    <w:rsid w:val="57F95408"/>
    <w:rsid w:val="59BDE728"/>
    <w:rsid w:val="5A8D766B"/>
    <w:rsid w:val="5CFDC638"/>
    <w:rsid w:val="5DF77933"/>
    <w:rsid w:val="63620412"/>
    <w:rsid w:val="65F8334A"/>
    <w:rsid w:val="6900719D"/>
    <w:rsid w:val="6F5E1F53"/>
    <w:rsid w:val="71DF0BB6"/>
    <w:rsid w:val="72E36D0B"/>
    <w:rsid w:val="752913AF"/>
    <w:rsid w:val="752F3AB5"/>
    <w:rsid w:val="77F8480C"/>
    <w:rsid w:val="79EFAF21"/>
    <w:rsid w:val="7F7B8340"/>
    <w:rsid w:val="A5F996A9"/>
    <w:rsid w:val="C75F89AF"/>
    <w:rsid w:val="F5DA0C4B"/>
    <w:rsid w:val="FD5E8FEF"/>
    <w:rsid w:val="FDF7852F"/>
    <w:rsid w:val="FFEE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line="413" w:lineRule="auto"/>
      <w:outlineLvl w:val="2"/>
    </w:pPr>
    <w:rPr>
      <w:rFonts w:ascii="Calibri" w:hAnsi="Calibri" w:cs="Calibri"/>
      <w:b/>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45"/>
    </w:pPr>
    <w:rPr>
      <w:rFonts w:ascii="仿宋_GB2312" w:eastAsia="仿宋_GB2312"/>
      <w:sz w:val="3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2"/>
    <w:basedOn w:val="3"/>
    <w:unhideWhenUsed/>
    <w:qFormat/>
    <w:uiPriority w:val="99"/>
    <w:pPr>
      <w:spacing w:after="120"/>
      <w:ind w:left="420" w:leftChars="200" w:firstLine="420" w:firstLineChars="200"/>
    </w:pPr>
    <w:rPr>
      <w:rFonts w:ascii="Calibri" w:hAnsi="Calibri" w:eastAsia="宋体"/>
      <w:sz w:val="21"/>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styleId="14">
    <w:name w:val="page number"/>
    <w:basedOn w:val="12"/>
    <w:qFormat/>
    <w:uiPriority w:val="0"/>
  </w:style>
  <w:style w:type="character" w:styleId="15">
    <w:name w:val="Hyperlink"/>
    <w:qFormat/>
    <w:uiPriority w:val="99"/>
    <w:rPr>
      <w:color w:val="0000FF"/>
      <w:u w:val="single"/>
    </w:rPr>
  </w:style>
  <w:style w:type="paragraph" w:customStyle="1" w:styleId="16">
    <w:name w:val="Char"/>
    <w:basedOn w:val="1"/>
    <w:qFormat/>
    <w:uiPriority w:val="0"/>
    <w:pPr>
      <w:widowControl/>
      <w:jc w:val="left"/>
    </w:pPr>
    <w:rPr>
      <w:rFonts w:ascii="Tahoma" w:hAnsi="Tahoma" w:cs="仿宋_GB2312"/>
      <w:kern w:val="0"/>
      <w:sz w:val="24"/>
    </w:rPr>
  </w:style>
  <w:style w:type="paragraph" w:customStyle="1" w:styleId="17">
    <w:name w:val="正文缩进1"/>
    <w:basedOn w:val="1"/>
    <w:qFormat/>
    <w:uiPriority w:val="0"/>
    <w:pPr>
      <w:ind w:firstLine="420" w:firstLineChars="200"/>
    </w:pPr>
    <w:rPr>
      <w:rFonts w:hint="eastAsia" w:ascii="Calibri" w:hAnsi="Calibr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2758</Words>
  <Characters>2861</Characters>
  <Lines>19</Lines>
  <Paragraphs>5</Paragraphs>
  <TotalTime>21</TotalTime>
  <ScaleCrop>false</ScaleCrop>
  <LinksUpToDate>false</LinksUpToDate>
  <CharactersWithSpaces>2869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2025-01-07T02:43:00Z</dcterms:created>
  <dc:creator>Administrator</dc:creator>
  <cp:lastModifiedBy>风碎了无痕</cp:lastModifiedBy>
  <cp:lastPrinted>2025-01-16T01:32:00Z</cp:lastPrinted>
  <dcterms:modified xsi:type="dcterms:W3CDTF">2025-01-22T07:09:34Z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4038C796550D43EA9AA210EC3C79C595_13</vt:lpwstr>
  </property>
  <property fmtid="{D5CDD505-2E9C-101B-9397-08002B2CF9AE}" pid="3" name="KSOProductBuildVer">
    <vt:lpwstr>2052-12.1.0.19302</vt:lpwstr>
  </property>
  <property fmtid="{D5CDD505-2E9C-101B-9397-08002B2CF9AE}" pid="4" name="KSOTemplateDocerSaveRecord">
    <vt:lpwstr>eyJoZGlkIjoiN2JjZDY2NTRmZGRiYTM2N2RhMGQ0ZWFlN2QyZDc5YmUiLCJ1c2VySWQiOiI3MjE0NzUzMTAifQ==</vt:lpwstr>
  </property>
</Properties>
</file>