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简体" w:hAnsi="sans-serif" w:eastAsia="方正小标宋简体" w:cs="仿宋_GB2312"/>
          <w:color w:val="000000" w:themeColor="text1"/>
          <w:sz w:val="44"/>
          <w:szCs w:val="44"/>
          <w14:textFill>
            <w14:solidFill>
              <w14:schemeClr w14:val="tx1"/>
            </w14:solidFill>
          </w14:textFill>
        </w:rPr>
      </w:pPr>
      <w:r>
        <w:rPr>
          <w:rFonts w:hint="eastAsia" w:ascii="方正小标宋简体" w:hAnsi="sans-serif" w:eastAsia="方正小标宋简体" w:cs="仿宋_GB2312"/>
          <w:color w:val="000000" w:themeColor="text1"/>
          <w:sz w:val="44"/>
          <w:szCs w:val="44"/>
          <w14:textFill>
            <w14:solidFill>
              <w14:schemeClr w14:val="tx1"/>
            </w14:solidFill>
          </w14:textFill>
        </w:rPr>
        <w:t>枣庄市台儿庄区商务和投资促进局</w:t>
      </w:r>
    </w:p>
    <w:p>
      <w:pPr>
        <w:pStyle w:val="2"/>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rPr>
          <w:rFonts w:hint="eastAsia" w:ascii="仿宋_GB2312" w:hAnsi="sans-serif" w:eastAsia="仿宋_GB2312" w:cs="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Cs/>
          <w:color w:val="000000" w:themeColor="text1"/>
          <w:spacing w:val="-17"/>
          <w:sz w:val="44"/>
          <w:szCs w:val="44"/>
          <w:shd w:val="clear" w:color="auto" w:fill="FFFFFF"/>
          <w14:textFill>
            <w14:solidFill>
              <w14:schemeClr w14:val="tx1"/>
            </w14:solidFill>
          </w14:textFill>
        </w:rPr>
        <w:t>2023年政府信息公开工作</w:t>
      </w:r>
      <w:r>
        <w:rPr>
          <w:rFonts w:hint="eastAsia" w:ascii="方正小标宋简体" w:hAnsi="方正小标宋简体" w:eastAsia="方正小标宋简体" w:cs="方正小标宋简体"/>
          <w:bCs/>
          <w:color w:val="000000" w:themeColor="text1"/>
          <w:sz w:val="44"/>
          <w:szCs w:val="44"/>
          <w:shd w:val="clear" w:color="auto" w:fill="FFFFFF"/>
          <w14:textFill>
            <w14:solidFill>
              <w14:schemeClr w14:val="tx1"/>
            </w14:solidFill>
          </w14:textFill>
        </w:rPr>
        <w:t>年度报告</w:t>
      </w:r>
    </w:p>
    <w:p>
      <w:pPr>
        <w:pStyle w:val="2"/>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sans-serif" w:eastAsia="仿宋_GB2312" w:cs="仿宋_GB2312"/>
          <w:color w:val="000000" w:themeColor="text1"/>
          <w:sz w:val="32"/>
          <w:szCs w:val="32"/>
          <w14:textFill>
            <w14:solidFill>
              <w14:schemeClr w14:val="tx1"/>
            </w14:solidFill>
          </w14:textFill>
        </w:rPr>
      </w:pP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sans-serif" w:eastAsia="仿宋_GB2312" w:cs="sans-serif"/>
          <w:color w:val="000000" w:themeColor="text1"/>
          <w:sz w:val="32"/>
          <w:szCs w:val="32"/>
          <w14:textFill>
            <w14:solidFill>
              <w14:schemeClr w14:val="tx1"/>
            </w14:solidFill>
          </w14:textFill>
        </w:rPr>
      </w:pPr>
      <w:r>
        <w:rPr>
          <w:rFonts w:hint="eastAsia" w:ascii="仿宋_GB2312" w:hAnsi="sans-serif" w:eastAsia="仿宋_GB2312" w:cs="仿宋_GB2312"/>
          <w:color w:val="000000" w:themeColor="text1"/>
          <w:sz w:val="32"/>
          <w:szCs w:val="32"/>
          <w14:textFill>
            <w14:solidFill>
              <w14:schemeClr w14:val="tx1"/>
            </w14:solidFill>
          </w14:textFill>
        </w:rPr>
        <w:t>根据《中华人民共和国政府信息公开条例》（国务院令第711号）相关规定及《台儿庄区人民政府办公室关于做好2023年政府信息公开工作年度报告编制和发布工作的通知》要求，现向社会公布台儿庄区商务和投资促进局2023年度政府信息公开报告。本报告由总体情况、主动公开政府信息情况、收到和处理政府信息公开申请情况、政府信息公开行政复议、行政诉讼情况、存在的主要问题及改进情况、其他需要报告的事项共六个部分组成。本报告中所列数据的统计时限为2023年1月1日至2023年12月31日。本报告在“枣庄市台儿庄区人民政府门户网站”（http://www.tez.gov.cn/）公布。对本报告如有疑问，可与台儿庄区商务和投资促进局办公室联系（地址：台儿庄区运河大道与华兴路交叉口向西180米路南；邮编：277400；电话：0632-6661666；电子邮箱：tezqswj@zz.shandong.cn）。</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sans-serif" w:eastAsia="仿宋_GB2312" w:cs="sans-serif"/>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一、总体情况</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sans-serif" w:eastAsia="仿宋_GB2312" w:cs="sans-serif"/>
          <w:color w:val="000000" w:themeColor="text1"/>
          <w:sz w:val="32"/>
          <w:szCs w:val="32"/>
          <w14:textFill>
            <w14:solidFill>
              <w14:schemeClr w14:val="tx1"/>
            </w14:solidFill>
          </w14:textFill>
        </w:rPr>
      </w:pPr>
      <w:r>
        <w:rPr>
          <w:rFonts w:hint="eastAsia" w:ascii="仿宋_GB2312" w:hAnsi="sans-serif" w:eastAsia="仿宋_GB2312" w:cs="仿宋_GB2312"/>
          <w:color w:val="000000" w:themeColor="text1"/>
          <w:sz w:val="32"/>
          <w:szCs w:val="32"/>
          <w14:textFill>
            <w14:solidFill>
              <w14:schemeClr w14:val="tx1"/>
            </w14:solidFill>
          </w14:textFill>
        </w:rPr>
        <w:t>我局认真贯彻落实《中华人民共和国政府信息公开条例》等文件要求，坚持“以公开为常态、不公开为例外”，进一步强化组织领导，完善公开机制，着力提升公开质量和实效。</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sans-serif" w:eastAsia="仿宋_GB2312" w:cs="sans-serif"/>
          <w:color w:val="000000" w:themeColor="text1"/>
          <w:sz w:val="32"/>
          <w:szCs w:val="32"/>
          <w14:textFill>
            <w14:solidFill>
              <w14:schemeClr w14:val="tx1"/>
            </w14:solidFill>
          </w14:textFill>
        </w:rPr>
      </w:pPr>
      <w:r>
        <w:rPr>
          <w:rFonts w:hint="eastAsia" w:ascii="仿宋_GB2312" w:hAnsi="sans-serif" w:eastAsia="仿宋_GB2312" w:cs="仿宋_GB2312"/>
          <w:color w:val="000000" w:themeColor="text1"/>
          <w:sz w:val="32"/>
          <w:szCs w:val="32"/>
          <w14:textFill>
            <w14:solidFill>
              <w14:schemeClr w14:val="tx1"/>
            </w14:solidFill>
          </w14:textFill>
        </w:rPr>
        <w:t>2023年，我局严格按照《台儿庄区商务和投资促进局政务信息公开制度》内容，明确职责，将政府信息公开工作落到实处。</w:t>
      </w:r>
    </w:p>
    <w:p>
      <w:pPr>
        <w:pStyle w:val="2"/>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sans-serif" w:eastAsia="仿宋_GB2312" w:cs="sans-serif"/>
          <w:color w:val="000000" w:themeColor="text1"/>
          <w:sz w:val="32"/>
          <w:szCs w:val="32"/>
          <w14:textFill>
            <w14:solidFill>
              <w14:schemeClr w14:val="tx1"/>
            </w14:solidFill>
          </w14:textFill>
        </w:rPr>
      </w:pPr>
      <w:r>
        <w:rPr>
          <w:rFonts w:hint="eastAsia" w:ascii="楷体_GB2312" w:hAnsi="sans-serif" w:eastAsia="楷体_GB2312" w:cs="仿宋_GB2312"/>
          <w:color w:val="000000" w:themeColor="text1"/>
          <w:sz w:val="32"/>
          <w:szCs w:val="32"/>
          <w14:textFill>
            <w14:solidFill>
              <w14:schemeClr w14:val="tx1"/>
            </w14:solidFill>
          </w14:textFill>
        </w:rPr>
        <w:t>（一）主动公开方面。</w:t>
      </w:r>
      <w:r>
        <w:rPr>
          <w:rFonts w:hint="eastAsia" w:ascii="仿宋_GB2312" w:hAnsi="sans-serif" w:eastAsia="仿宋_GB2312" w:cs="仿宋_GB2312"/>
          <w:color w:val="000000" w:themeColor="text1"/>
          <w:sz w:val="32"/>
          <w:szCs w:val="32"/>
          <w14:textFill>
            <w14:solidFill>
              <w14:schemeClr w14:val="tx1"/>
            </w14:solidFill>
          </w14:textFill>
        </w:rPr>
        <w:t>梳理各类应公开的政府信息按照分类予以公开，本年度主动公开政府信息31件，其中机构职能3件，政策解读4件，规划计划1件，工作信息9件，行政权力运行公开8件，主动公开基本目录1件，政务公开保障机制5件。</w:t>
      </w:r>
    </w:p>
    <w:p>
      <w:pPr>
        <w:pStyle w:val="2"/>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sans-serif" w:eastAsia="仿宋_GB2312" w:cs="仿宋_GB2312"/>
          <w:color w:val="000000" w:themeColor="text1"/>
          <w:sz w:val="32"/>
          <w:szCs w:val="32"/>
          <w:lang w:eastAsia="zh-CN"/>
          <w14:textFill>
            <w14:solidFill>
              <w14:schemeClr w14:val="tx1"/>
            </w14:solidFill>
          </w14:textFill>
        </w:rPr>
      </w:pPr>
      <w:r>
        <w:rPr>
          <w:rFonts w:hint="eastAsia" w:ascii="楷体_GB2312" w:hAnsi="sans-serif" w:eastAsia="楷体_GB2312" w:cs="仿宋_GB2312"/>
          <w:color w:val="000000" w:themeColor="text1"/>
          <w:sz w:val="32"/>
          <w:szCs w:val="32"/>
          <w14:textFill>
            <w14:solidFill>
              <w14:schemeClr w14:val="tx1"/>
            </w14:solidFill>
          </w14:textFill>
        </w:rPr>
        <w:t>（二）依申请公开方面。</w:t>
      </w:r>
      <w:r>
        <w:rPr>
          <w:rFonts w:hint="eastAsia" w:ascii="仿宋_GB2312" w:hAnsi="sans-serif" w:eastAsia="仿宋_GB2312" w:cs="仿宋_GB2312"/>
          <w:color w:val="000000" w:themeColor="text1"/>
          <w:sz w:val="32"/>
          <w:szCs w:val="32"/>
          <w14:textFill>
            <w14:solidFill>
              <w14:schemeClr w14:val="tx1"/>
            </w14:solidFill>
          </w14:textFill>
        </w:rPr>
        <w:t>密切关注申请情况，严格落实依申请公开办理制度，本年度我局收到依申请公开政府信息</w:t>
      </w:r>
      <w:r>
        <w:rPr>
          <w:rFonts w:hint="eastAsia" w:ascii="仿宋_GB2312" w:hAnsi="sans-serif" w:eastAsia="仿宋_GB2312" w:cs="仿宋_GB2312"/>
          <w:color w:val="000000" w:themeColor="text1"/>
          <w:sz w:val="32"/>
          <w:szCs w:val="32"/>
          <w:lang w:val="en-US" w:eastAsia="zh-CN"/>
          <w14:textFill>
            <w14:solidFill>
              <w14:schemeClr w14:val="tx1"/>
            </w14:solidFill>
          </w14:textFill>
        </w:rPr>
        <w:t>0</w:t>
      </w:r>
      <w:r>
        <w:rPr>
          <w:rFonts w:hint="eastAsia" w:ascii="仿宋_GB2312" w:hAnsi="sans-serif" w:eastAsia="仿宋_GB2312" w:cs="仿宋_GB2312"/>
          <w:color w:val="000000" w:themeColor="text1"/>
          <w:sz w:val="32"/>
          <w:szCs w:val="32"/>
          <w14:textFill>
            <w14:solidFill>
              <w14:schemeClr w14:val="tx1"/>
            </w14:solidFill>
          </w14:textFill>
        </w:rPr>
        <w:t>件</w:t>
      </w:r>
      <w:r>
        <w:rPr>
          <w:rFonts w:hint="eastAsia" w:ascii="仿宋_GB2312" w:hAnsi="sans-serif" w:eastAsia="仿宋_GB2312" w:cs="仿宋_GB2312"/>
          <w:color w:val="000000" w:themeColor="text1"/>
          <w:sz w:val="32"/>
          <w:szCs w:val="32"/>
          <w:lang w:eastAsia="zh-CN"/>
          <w14:textFill>
            <w14:solidFill>
              <w14:schemeClr w14:val="tx1"/>
            </w14:solidFill>
          </w14:textFill>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sans-serif" w:eastAsia="仿宋_GB2312" w:cs="sans-serif"/>
          <w:color w:val="000000" w:themeColor="text1"/>
          <w:sz w:val="32"/>
          <w:szCs w:val="32"/>
          <w14:textFill>
            <w14:solidFill>
              <w14:schemeClr w14:val="tx1"/>
            </w14:solidFill>
          </w14:textFill>
        </w:rPr>
      </w:pPr>
      <w:r>
        <w:rPr>
          <w:rFonts w:hint="eastAsia" w:ascii="楷体_GB2312" w:hAnsi="sans-serif" w:eastAsia="楷体_GB2312" w:cs="仿宋_GB2312"/>
          <w:color w:val="000000" w:themeColor="text1"/>
          <w:sz w:val="32"/>
          <w:szCs w:val="32"/>
          <w14:textFill>
            <w14:solidFill>
              <w14:schemeClr w14:val="tx1"/>
            </w14:solidFill>
          </w14:textFill>
        </w:rPr>
        <w:t>（三）政府信息管理方面。</w:t>
      </w:r>
      <w:r>
        <w:rPr>
          <w:rFonts w:hint="eastAsia" w:ascii="仿宋_GB2312" w:hAnsi="sans-serif" w:eastAsia="仿宋_GB2312" w:cs="仿宋_GB2312"/>
          <w:color w:val="000000" w:themeColor="text1"/>
          <w:sz w:val="32"/>
          <w:szCs w:val="32"/>
          <w14:textFill>
            <w14:solidFill>
              <w14:schemeClr w14:val="tx1"/>
            </w14:solidFill>
          </w14:textFill>
        </w:rPr>
        <w:t>严格落实保密审查制度，信息发布前由经办及分管领导签审《信息发布保密审查表》，确保所公开信息符合保密规定。</w:t>
      </w:r>
    </w:p>
    <w:p>
      <w:pPr>
        <w:pStyle w:val="2"/>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sans-serif" w:eastAsia="仿宋_GB2312" w:cs="sans-serif"/>
          <w:color w:val="000000" w:themeColor="text1"/>
          <w:sz w:val="32"/>
          <w:szCs w:val="32"/>
          <w14:textFill>
            <w14:solidFill>
              <w14:schemeClr w14:val="tx1"/>
            </w14:solidFill>
          </w14:textFill>
        </w:rPr>
      </w:pPr>
      <w:r>
        <w:rPr>
          <w:rFonts w:hint="eastAsia" w:ascii="楷体_GB2312" w:hAnsi="sans-serif" w:eastAsia="楷体_GB2312" w:cs="仿宋_GB2312"/>
          <w:color w:val="000000" w:themeColor="text1"/>
          <w:sz w:val="32"/>
          <w:szCs w:val="32"/>
          <w14:textFill>
            <w14:solidFill>
              <w14:schemeClr w14:val="tx1"/>
            </w14:solidFill>
          </w14:textFill>
        </w:rPr>
        <w:t>（四）政府信息公开平台建设方面。</w:t>
      </w:r>
      <w:r>
        <w:rPr>
          <w:rFonts w:hint="eastAsia" w:ascii="仿宋_GB2312" w:hAnsi="sans-serif" w:eastAsia="仿宋_GB2312" w:cs="仿宋_GB2312"/>
          <w:color w:val="000000" w:themeColor="text1"/>
          <w:sz w:val="32"/>
          <w:szCs w:val="32"/>
          <w14:textFill>
            <w14:solidFill>
              <w14:schemeClr w14:val="tx1"/>
            </w14:solidFill>
          </w14:textFill>
        </w:rPr>
        <w:t>将台儿庄区政府网站作为重要阵地，继续推动“互联网＋政务服务”，深化“放管服”信息公开；作为信息公开工作的延伸和扩展，及时做好微信公众号政务新媒体的信息发布工作，围绕部门工作职责和意识形态工作要求，建设模块化信息专栏，链接部门政策信息端口，打通政务服务网入口，配合行政服务中心做好线上线下融合工作。</w:t>
      </w:r>
    </w:p>
    <w:p>
      <w:pPr>
        <w:pStyle w:val="2"/>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sans-serif" w:eastAsia="仿宋_GB2312" w:cs="sans-serif"/>
          <w:color w:val="000000" w:themeColor="text1"/>
          <w:sz w:val="32"/>
          <w:szCs w:val="32"/>
          <w14:textFill>
            <w14:solidFill>
              <w14:schemeClr w14:val="tx1"/>
            </w14:solidFill>
          </w14:textFill>
        </w:rPr>
      </w:pPr>
      <w:r>
        <w:rPr>
          <w:rFonts w:hint="eastAsia" w:ascii="楷体_GB2312" w:hAnsi="sans-serif" w:eastAsia="楷体_GB2312" w:cs="仿宋_GB2312"/>
          <w:color w:val="000000" w:themeColor="text1"/>
          <w:sz w:val="32"/>
          <w:szCs w:val="32"/>
          <w14:textFill>
            <w14:solidFill>
              <w14:schemeClr w14:val="tx1"/>
            </w14:solidFill>
          </w14:textFill>
        </w:rPr>
        <w:t>（五）监督保障方面。</w:t>
      </w:r>
      <w:r>
        <w:rPr>
          <w:rFonts w:hint="eastAsia" w:ascii="仿宋_GB2312" w:hAnsi="sans-serif" w:eastAsia="仿宋_GB2312" w:cs="仿宋_GB2312"/>
          <w:color w:val="000000" w:themeColor="text1"/>
          <w:sz w:val="32"/>
          <w:szCs w:val="32"/>
          <w14:textFill>
            <w14:solidFill>
              <w14:schemeClr w14:val="tx1"/>
            </w14:solidFill>
          </w14:textFill>
        </w:rPr>
        <w:t>我局不断完善政府信息公开工作机制和信息发布审核流程，明确责任工作室，强化监督检查，更新我局信息公开指南，发布政府信息公开工作年度报告，切实保障人民群众知情权、参与权和监督权，做到公开透明。</w:t>
      </w:r>
    </w:p>
    <w:p>
      <w:pPr>
        <w:pStyle w:val="2"/>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sans-serif" w:eastAsia="仿宋_GB2312" w:cs="sans-serif"/>
          <w:color w:val="000000" w:themeColor="text1"/>
          <w:sz w:val="32"/>
          <w:szCs w:val="32"/>
          <w14:textFill>
            <w14:solidFill>
              <w14:schemeClr w14:val="tx1"/>
            </w14:solidFill>
          </w14:textFill>
        </w:rPr>
      </w:pPr>
      <w:r>
        <w:rPr>
          <w:rFonts w:hint="eastAsia" w:ascii="楷体_GB2312" w:hAnsi="sans-serif" w:eastAsia="楷体_GB2312" w:cs="仿宋_GB2312"/>
          <w:color w:val="000000" w:themeColor="text1"/>
          <w:sz w:val="32"/>
          <w:szCs w:val="32"/>
          <w14:textFill>
            <w14:solidFill>
              <w14:schemeClr w14:val="tx1"/>
            </w14:solidFill>
          </w14:textFill>
        </w:rPr>
        <w:t>（六）建议提案办理情况。</w:t>
      </w:r>
      <w:r>
        <w:rPr>
          <w:rFonts w:hint="eastAsia" w:ascii="仿宋_GB2312" w:hAnsi="sans-serif" w:eastAsia="仿宋_GB2312" w:cs="仿宋_GB2312"/>
          <w:color w:val="000000" w:themeColor="text1"/>
          <w:sz w:val="32"/>
          <w:szCs w:val="32"/>
          <w14:textFill>
            <w14:solidFill>
              <w14:schemeClr w14:val="tx1"/>
            </w14:solidFill>
          </w14:textFill>
        </w:rPr>
        <w:t>根据《政府信息公开条例》第二十条第八项要求，对2023年建议提案办理情况进行了公开。我局高度重视人大代表建议和政协委员提案办理，完善机制、狠抓落实，取得了良好成效。全年共收到市级政协提案2件、区级政协提案3件。截至目前，承接的建议、提案均在规定的答复时限内答复完毕，答复率达100%。</w:t>
      </w:r>
    </w:p>
    <w:p>
      <w:pPr>
        <w:pStyle w:val="2"/>
        <w:widowControl/>
        <w:spacing w:beforeAutospacing="0" w:afterAutospacing="0" w:line="560" w:lineRule="exact"/>
        <w:ind w:firstLine="640" w:firstLineChars="200"/>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二、主动公开政府信息情况</w:t>
      </w:r>
    </w:p>
    <w:tbl>
      <w:tblPr>
        <w:tblStyle w:val="3"/>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信息内容</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本年制发件数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本年废止件数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规章</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Calibri" w:eastAsia="仿宋_GB2312" w:cs="Calibri"/>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行政规范性文件</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Calibri" w:eastAsia="仿宋_GB2312" w:cs="Calibri"/>
                <w:color w:val="000000" w:themeColor="text1"/>
                <w:kern w:val="0"/>
                <w:szCs w:val="21"/>
                <w14:textFill>
                  <w14:solidFill>
                    <w14:schemeClr w14:val="tx1"/>
                  </w14:solidFill>
                </w14:textFill>
              </w:rPr>
            </w:pPr>
            <w:r>
              <w:rPr>
                <w:rFonts w:hint="eastAsia" w:ascii="仿宋_GB2312" w:hAnsi="Calibri" w:eastAsia="仿宋_GB2312" w:cs="Calibri"/>
                <w:color w:val="000000" w:themeColor="text1"/>
                <w:kern w:val="0"/>
                <w:szCs w:val="21"/>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Calibri" w:eastAsia="仿宋_GB2312" w:cs="Calibri"/>
                <w:color w:val="000000" w:themeColor="text1"/>
                <w:kern w:val="0"/>
                <w:szCs w:val="21"/>
                <w14:textFill>
                  <w14:solidFill>
                    <w14:schemeClr w14:val="tx1"/>
                  </w14:solidFill>
                </w14:textFill>
              </w:rPr>
            </w:pPr>
            <w:r>
              <w:rPr>
                <w:rFonts w:hint="eastAsia" w:ascii="仿宋_GB2312" w:hAnsi="Calibri" w:eastAsia="仿宋_GB2312" w:cs="Calibri"/>
                <w:color w:val="000000" w:themeColor="text1"/>
                <w:kern w:val="0"/>
                <w:szCs w:val="21"/>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Calibri" w:eastAsia="仿宋_GB2312" w:cs="Calibri"/>
                <w:color w:val="000000" w:themeColor="text1"/>
                <w:kern w:val="0"/>
                <w:szCs w:val="21"/>
                <w14:textFill>
                  <w14:solidFill>
                    <w14:schemeClr w14:val="tx1"/>
                  </w14:solidFill>
                </w14:textFill>
              </w:rPr>
            </w:pPr>
            <w:r>
              <w:rPr>
                <w:rFonts w:hint="eastAsia" w:ascii="仿宋_GB2312" w:hAnsi="Calibri" w:eastAsia="仿宋_GB2312" w:cs="Calibri"/>
                <w:color w:val="000000" w:themeColor="text1"/>
                <w:kern w:val="0"/>
                <w:szCs w:val="21"/>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第二十条第（八）项</w:t>
            </w:r>
          </w:p>
        </w:tc>
      </w:tr>
      <w:tr>
        <w:tblPrEx>
          <w:tblCellMar>
            <w:top w:w="0" w:type="dxa"/>
            <w:left w:w="108" w:type="dxa"/>
            <w:bottom w:w="0" w:type="dxa"/>
            <w:right w:w="108" w:type="dxa"/>
          </w:tblCellMar>
        </w:tblPrEx>
        <w:trPr>
          <w:trHeight w:val="834"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本年收费金额（单位：万元）</w:t>
            </w:r>
          </w:p>
        </w:tc>
      </w:tr>
      <w:tr>
        <w:tblPrEx>
          <w:tblCellMar>
            <w:top w:w="0" w:type="dxa"/>
            <w:left w:w="108" w:type="dxa"/>
            <w:bottom w:w="0" w:type="dxa"/>
            <w:right w:w="108" w:type="dxa"/>
          </w:tblCellMar>
        </w:tblPrEx>
        <w:trPr>
          <w:trHeight w:val="661"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Calibri" w:eastAsia="仿宋_GB2312" w:cs="Calibri"/>
                <w:color w:val="000000" w:themeColor="text1"/>
                <w:kern w:val="0"/>
                <w:szCs w:val="21"/>
                <w14:textFill>
                  <w14:solidFill>
                    <w14:schemeClr w14:val="tx1"/>
                  </w14:solidFill>
                </w14:textFill>
              </w:rPr>
            </w:pPr>
            <w:r>
              <w:rPr>
                <w:rFonts w:hint="eastAsia" w:ascii="仿宋_GB2312" w:hAnsi="Calibri" w:eastAsia="仿宋_GB2312" w:cs="Calibri"/>
                <w:color w:val="000000" w:themeColor="text1"/>
                <w:kern w:val="0"/>
                <w:szCs w:val="21"/>
                <w14:textFill>
                  <w14:solidFill>
                    <w14:schemeClr w14:val="tx1"/>
                  </w14:solidFill>
                </w14:textFill>
              </w:rPr>
              <w:t>0</w:t>
            </w:r>
          </w:p>
        </w:tc>
      </w:tr>
    </w:tbl>
    <w:p>
      <w:pPr>
        <w:pStyle w:val="2"/>
        <w:widowControl/>
        <w:spacing w:beforeAutospacing="0" w:afterAutospacing="0" w:line="560" w:lineRule="exact"/>
        <w:ind w:firstLine="640" w:firstLineChars="200"/>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三、收到和处理政府信息公开申请情况</w:t>
      </w:r>
    </w:p>
    <w:tbl>
      <w:tblPr>
        <w:tblStyle w:val="3"/>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87" w:type="dxa"/>
            <w:gridSpan w:val="3"/>
            <w:vMerge w:val="restart"/>
            <w:shd w:val="clear" w:color="auto" w:fill="auto"/>
            <w:tcMar>
              <w:left w:w="108" w:type="dxa"/>
              <w:right w:w="108" w:type="dxa"/>
            </w:tcMar>
            <w:vAlign w:val="center"/>
          </w:tcPr>
          <w:p>
            <w:pPr>
              <w:widowControl/>
              <w:jc w:val="center"/>
              <w:rPr>
                <w:rFonts w:ascii="楷体_GB2312" w:hAnsi="黑体" w:eastAsia="楷体_GB2312"/>
                <w:color w:val="000000" w:themeColor="text1"/>
                <w:kern w:val="0"/>
                <w:szCs w:val="21"/>
                <w14:textFill>
                  <w14:solidFill>
                    <w14:schemeClr w14:val="tx1"/>
                  </w14:solidFill>
                </w14:textFill>
              </w:rPr>
            </w:pPr>
            <w:r>
              <w:rPr>
                <w:rFonts w:hint="eastAsia" w:ascii="楷体_GB2312" w:hAnsi="黑体" w:eastAsia="楷体_GB2312"/>
                <w:color w:val="000000" w:themeColor="text1"/>
                <w:kern w:val="0"/>
                <w:szCs w:val="21"/>
                <w14:textFill>
                  <w14:solidFill>
                    <w14:schemeClr w14:val="tx1"/>
                  </w14:solidFill>
                </w14:textFill>
              </w:rPr>
              <w:t>（本列数据的勾稽关系为：第一项加第二项之和，</w:t>
            </w:r>
          </w:p>
          <w:p>
            <w:pPr>
              <w:widowControl/>
              <w:jc w:val="center"/>
              <w:rPr>
                <w:rFonts w:ascii="仿宋_GB2312" w:eastAsia="仿宋_GB2312"/>
                <w:color w:val="000000" w:themeColor="text1"/>
                <w:szCs w:val="21"/>
                <w14:textFill>
                  <w14:solidFill>
                    <w14:schemeClr w14:val="tx1"/>
                  </w14:solidFill>
                </w14:textFill>
              </w:rPr>
            </w:pPr>
            <w:r>
              <w:rPr>
                <w:rFonts w:hint="eastAsia" w:ascii="楷体_GB2312" w:hAnsi="黑体" w:eastAsia="楷体_GB2312"/>
                <w:color w:val="000000" w:themeColor="text1"/>
                <w:kern w:val="0"/>
                <w:szCs w:val="21"/>
                <w14:textFill>
                  <w14:solidFill>
                    <w14:schemeClr w14:val="tx1"/>
                  </w14:solidFill>
                </w14:textFill>
              </w:rPr>
              <w:t>等于第三项加第四项之和）</w:t>
            </w:r>
          </w:p>
        </w:tc>
        <w:tc>
          <w:tcPr>
            <w:tcW w:w="4454" w:type="dxa"/>
            <w:gridSpan w:val="7"/>
            <w:shd w:val="clear" w:color="auto" w:fill="auto"/>
            <w:tcMar>
              <w:left w:w="108" w:type="dxa"/>
              <w:right w:w="108" w:type="dxa"/>
            </w:tcMar>
            <w:vAlign w:val="center"/>
          </w:tcPr>
          <w:p>
            <w:pPr>
              <w:widowControl/>
              <w:spacing w:line="320" w:lineRule="exact"/>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87" w:type="dxa"/>
            <w:gridSpan w:val="3"/>
            <w:vMerge w:val="continue"/>
            <w:shd w:val="clear" w:color="auto" w:fill="auto"/>
            <w:tcMar>
              <w:left w:w="108" w:type="dxa"/>
              <w:right w:w="108" w:type="dxa"/>
            </w:tcMar>
            <w:vAlign w:val="center"/>
          </w:tcPr>
          <w:p>
            <w:pPr>
              <w:jc w:val="center"/>
              <w:rPr>
                <w:rFonts w:ascii="仿宋_GB2312" w:eastAsia="仿宋_GB2312"/>
                <w:color w:val="000000" w:themeColor="text1"/>
                <w:szCs w:val="21"/>
                <w14:textFill>
                  <w14:solidFill>
                    <w14:schemeClr w14:val="tx1"/>
                  </w14:solidFill>
                </w14:textFill>
              </w:rPr>
            </w:pPr>
          </w:p>
        </w:tc>
        <w:tc>
          <w:tcPr>
            <w:tcW w:w="752" w:type="dxa"/>
            <w:vMerge w:val="restart"/>
            <w:shd w:val="clear" w:color="auto" w:fill="auto"/>
            <w:tcMar>
              <w:left w:w="108" w:type="dxa"/>
              <w:right w:w="108" w:type="dxa"/>
            </w:tcMar>
            <w:vAlign w:val="center"/>
          </w:tcPr>
          <w:p>
            <w:pPr>
              <w:widowControl/>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自然人</w:t>
            </w:r>
          </w:p>
        </w:tc>
        <w:tc>
          <w:tcPr>
            <w:tcW w:w="3001" w:type="dxa"/>
            <w:gridSpan w:val="5"/>
            <w:shd w:val="clear" w:color="auto" w:fill="auto"/>
            <w:tcMar>
              <w:left w:w="108" w:type="dxa"/>
              <w:right w:w="108" w:type="dxa"/>
            </w:tcMar>
            <w:vAlign w:val="center"/>
          </w:tcPr>
          <w:p>
            <w:pPr>
              <w:widowControl/>
              <w:spacing w:line="320" w:lineRule="exact"/>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法人或其他组织</w:t>
            </w:r>
          </w:p>
        </w:tc>
        <w:tc>
          <w:tcPr>
            <w:tcW w:w="701" w:type="dxa"/>
            <w:vMerge w:val="restart"/>
            <w:shd w:val="clear" w:color="auto" w:fill="auto"/>
            <w:tcMar>
              <w:left w:w="108" w:type="dxa"/>
              <w:right w:w="108" w:type="dxa"/>
            </w:tcMar>
            <w:vAlign w:val="center"/>
          </w:tcPr>
          <w:p>
            <w:pPr>
              <w:widowControl/>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87" w:type="dxa"/>
            <w:gridSpan w:val="3"/>
            <w:vMerge w:val="continue"/>
            <w:shd w:val="clear" w:color="auto" w:fill="auto"/>
            <w:tcMar>
              <w:left w:w="108" w:type="dxa"/>
              <w:right w:w="108" w:type="dxa"/>
            </w:tcMar>
            <w:vAlign w:val="center"/>
          </w:tcPr>
          <w:p>
            <w:pPr>
              <w:jc w:val="center"/>
              <w:rPr>
                <w:rFonts w:ascii="仿宋_GB2312" w:eastAsia="仿宋_GB2312"/>
                <w:color w:val="000000" w:themeColor="text1"/>
                <w:szCs w:val="21"/>
                <w14:textFill>
                  <w14:solidFill>
                    <w14:schemeClr w14:val="tx1"/>
                  </w14:solidFill>
                </w14:textFill>
              </w:rPr>
            </w:pPr>
          </w:p>
        </w:tc>
        <w:tc>
          <w:tcPr>
            <w:tcW w:w="752" w:type="dxa"/>
            <w:vMerge w:val="continue"/>
            <w:shd w:val="clear" w:color="auto" w:fill="auto"/>
            <w:tcMar>
              <w:left w:w="108" w:type="dxa"/>
              <w:right w:w="108" w:type="dxa"/>
            </w:tcMar>
            <w:vAlign w:val="center"/>
          </w:tcPr>
          <w:p>
            <w:pPr>
              <w:jc w:val="center"/>
              <w:rPr>
                <w:rFonts w:ascii="黑体" w:hAnsi="黑体" w:eastAsia="黑体"/>
                <w:color w:val="000000" w:themeColor="text1"/>
                <w:szCs w:val="21"/>
                <w14:textFill>
                  <w14:solidFill>
                    <w14:schemeClr w14:val="tx1"/>
                  </w14:solidFill>
                </w14:textFill>
              </w:rPr>
            </w:pPr>
          </w:p>
        </w:tc>
        <w:tc>
          <w:tcPr>
            <w:tcW w:w="540"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商业企业</w:t>
            </w:r>
          </w:p>
        </w:tc>
        <w:tc>
          <w:tcPr>
            <w:tcW w:w="540"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科研机构</w:t>
            </w:r>
          </w:p>
        </w:tc>
        <w:tc>
          <w:tcPr>
            <w:tcW w:w="720"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社会公益组织</w:t>
            </w:r>
          </w:p>
        </w:tc>
        <w:tc>
          <w:tcPr>
            <w:tcW w:w="675"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法律服务机构</w:t>
            </w:r>
          </w:p>
        </w:tc>
        <w:tc>
          <w:tcPr>
            <w:tcW w:w="526"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其他</w:t>
            </w:r>
          </w:p>
        </w:tc>
        <w:tc>
          <w:tcPr>
            <w:tcW w:w="701" w:type="dxa"/>
            <w:vMerge w:val="continue"/>
            <w:shd w:val="clear" w:color="auto" w:fill="auto"/>
            <w:tcMar>
              <w:left w:w="108" w:type="dxa"/>
              <w:right w:w="108" w:type="dxa"/>
            </w:tcMar>
            <w:vAlign w:val="center"/>
          </w:tcPr>
          <w:p>
            <w:pPr>
              <w:jc w:val="center"/>
              <w:rPr>
                <w:rFonts w:ascii="仿宋_GB2312" w:eastAsia="仿宋_GB2312"/>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7" w:type="dxa"/>
            <w:gridSpan w:val="3"/>
            <w:shd w:val="clear" w:color="auto" w:fill="auto"/>
            <w:tcMar>
              <w:left w:w="108" w:type="dxa"/>
              <w:right w:w="108" w:type="dxa"/>
            </w:tcMar>
            <w:vAlign w:val="center"/>
          </w:tcPr>
          <w:p>
            <w:pPr>
              <w:widowControl/>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一、</w:t>
            </w:r>
            <w:bookmarkStart w:id="0" w:name="_Hlk66973412"/>
            <w:r>
              <w:rPr>
                <w:rFonts w:hint="eastAsia" w:ascii="黑体" w:hAnsi="黑体" w:eastAsia="黑体"/>
                <w:color w:val="000000" w:themeColor="text1"/>
                <w:kern w:val="0"/>
                <w:szCs w:val="21"/>
                <w14:textFill>
                  <w14:solidFill>
                    <w14:schemeClr w14:val="tx1"/>
                  </w14:solidFill>
                </w14:textFill>
              </w:rPr>
              <w:t>本年新收政府信息公开申请数量</w:t>
            </w:r>
            <w:bookmarkEnd w:id="0"/>
          </w:p>
        </w:tc>
        <w:tc>
          <w:tcPr>
            <w:tcW w:w="752"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7" w:type="dxa"/>
            <w:gridSpan w:val="3"/>
            <w:shd w:val="clear" w:color="auto" w:fill="auto"/>
            <w:tcMar>
              <w:left w:w="108" w:type="dxa"/>
              <w:right w:w="108" w:type="dxa"/>
            </w:tcMar>
            <w:vAlign w:val="center"/>
          </w:tcPr>
          <w:p>
            <w:pPr>
              <w:widowControl/>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二、上年结转政府信息公开申请数量</w:t>
            </w:r>
          </w:p>
        </w:tc>
        <w:tc>
          <w:tcPr>
            <w:tcW w:w="752"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restart"/>
            <w:shd w:val="clear" w:color="auto" w:fill="auto"/>
            <w:tcMar>
              <w:left w:w="108" w:type="dxa"/>
              <w:right w:w="108" w:type="dxa"/>
            </w:tcMar>
            <w:vAlign w:val="center"/>
          </w:tcPr>
          <w:p>
            <w:pPr>
              <w:widowControl/>
              <w:spacing w:after="18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三、本年度办理结果</w:t>
            </w:r>
          </w:p>
        </w:tc>
        <w:tc>
          <w:tcPr>
            <w:tcW w:w="4672" w:type="dxa"/>
            <w:gridSpan w:val="2"/>
            <w:shd w:val="clear" w:color="auto" w:fill="auto"/>
            <w:tcMar>
              <w:left w:w="108" w:type="dxa"/>
              <w:right w:w="108" w:type="dxa"/>
            </w:tcMar>
            <w:vAlign w:val="center"/>
          </w:tcPr>
          <w:p>
            <w:pPr>
              <w:widowControl/>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（一）予以公开</w:t>
            </w:r>
          </w:p>
        </w:tc>
        <w:tc>
          <w:tcPr>
            <w:tcW w:w="752"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4672" w:type="dxa"/>
            <w:gridSpan w:val="2"/>
            <w:shd w:val="clear" w:color="auto" w:fill="auto"/>
            <w:tcMar>
              <w:left w:w="108" w:type="dxa"/>
              <w:right w:w="108" w:type="dxa"/>
            </w:tcMar>
            <w:vAlign w:val="center"/>
          </w:tcPr>
          <w:p>
            <w:pPr>
              <w:widowControl/>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（二）部分公开（</w:t>
            </w:r>
            <w:bookmarkStart w:id="1" w:name="_Hlk66973981"/>
            <w:r>
              <w:rPr>
                <w:rFonts w:hint="eastAsia" w:ascii="黑体" w:hAnsi="黑体" w:eastAsia="黑体"/>
                <w:color w:val="000000" w:themeColor="text1"/>
                <w:kern w:val="0"/>
                <w:szCs w:val="21"/>
                <w14:textFill>
                  <w14:solidFill>
                    <w14:schemeClr w14:val="tx1"/>
                  </w14:solidFill>
                </w14:textFill>
              </w:rPr>
              <w:t>区分处理的，只计这一情形，不计其他情形</w:t>
            </w:r>
            <w:bookmarkEnd w:id="1"/>
            <w:r>
              <w:rPr>
                <w:rFonts w:hint="eastAsia" w:ascii="黑体" w:hAnsi="黑体" w:eastAsia="黑体"/>
                <w:color w:val="000000" w:themeColor="text1"/>
                <w:kern w:val="0"/>
                <w:szCs w:val="21"/>
                <w14:textFill>
                  <w14:solidFill>
                    <w14:schemeClr w14:val="tx1"/>
                  </w14:solidFill>
                </w14:textFill>
              </w:rPr>
              <w:t>）</w:t>
            </w:r>
          </w:p>
        </w:tc>
        <w:tc>
          <w:tcPr>
            <w:tcW w:w="752"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699"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（三）不予公开</w:t>
            </w:r>
          </w:p>
        </w:tc>
        <w:tc>
          <w:tcPr>
            <w:tcW w:w="2973"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1.属于国家秘密</w:t>
            </w:r>
          </w:p>
        </w:tc>
        <w:tc>
          <w:tcPr>
            <w:tcW w:w="752"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699" w:type="dxa"/>
            <w:vMerge w:val="continue"/>
            <w:shd w:val="clear" w:color="auto" w:fill="auto"/>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3"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2.</w:t>
            </w:r>
            <w:bookmarkStart w:id="2" w:name="_Hlk66974104"/>
            <w:r>
              <w:rPr>
                <w:rFonts w:hint="eastAsia" w:ascii="仿宋_GB2312" w:hAnsi="黑体" w:eastAsia="仿宋_GB2312"/>
                <w:color w:val="000000" w:themeColor="text1"/>
                <w:kern w:val="0"/>
                <w:szCs w:val="21"/>
                <w14:textFill>
                  <w14:solidFill>
                    <w14:schemeClr w14:val="tx1"/>
                  </w14:solidFill>
                </w14:textFill>
              </w:rPr>
              <w:t>其他法律行政法规禁止公开</w:t>
            </w:r>
            <w:bookmarkEnd w:id="2"/>
          </w:p>
        </w:tc>
        <w:tc>
          <w:tcPr>
            <w:tcW w:w="752"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699" w:type="dxa"/>
            <w:vMerge w:val="continue"/>
            <w:shd w:val="clear" w:color="auto" w:fill="auto"/>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3"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3.危及“三安全一稳定”</w:t>
            </w:r>
          </w:p>
        </w:tc>
        <w:tc>
          <w:tcPr>
            <w:tcW w:w="752"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699" w:type="dxa"/>
            <w:vMerge w:val="continue"/>
            <w:shd w:val="clear" w:color="auto" w:fill="auto"/>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3"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4.</w:t>
            </w:r>
            <w:bookmarkStart w:id="3" w:name="_Hlk66974290"/>
            <w:r>
              <w:rPr>
                <w:rFonts w:hint="eastAsia" w:ascii="仿宋_GB2312" w:hAnsi="黑体" w:eastAsia="仿宋_GB2312"/>
                <w:color w:val="000000" w:themeColor="text1"/>
                <w:kern w:val="0"/>
                <w:szCs w:val="21"/>
                <w14:textFill>
                  <w14:solidFill>
                    <w14:schemeClr w14:val="tx1"/>
                  </w14:solidFill>
                </w14:textFill>
              </w:rPr>
              <w:t>保护第三方合法权益</w:t>
            </w:r>
            <w:bookmarkEnd w:id="3"/>
          </w:p>
        </w:tc>
        <w:tc>
          <w:tcPr>
            <w:tcW w:w="752"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699" w:type="dxa"/>
            <w:vMerge w:val="continue"/>
            <w:shd w:val="clear" w:color="auto" w:fill="auto"/>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3"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5.属于三类内部事务信息</w:t>
            </w:r>
          </w:p>
        </w:tc>
        <w:tc>
          <w:tcPr>
            <w:tcW w:w="752"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699" w:type="dxa"/>
            <w:vMerge w:val="continue"/>
            <w:shd w:val="clear" w:color="auto" w:fill="auto"/>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3"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6.</w:t>
            </w:r>
            <w:bookmarkStart w:id="4" w:name="_Hlk66974555"/>
            <w:r>
              <w:rPr>
                <w:rFonts w:hint="eastAsia" w:ascii="仿宋_GB2312" w:hAnsi="黑体" w:eastAsia="仿宋_GB2312"/>
                <w:color w:val="000000" w:themeColor="text1"/>
                <w:kern w:val="0"/>
                <w:szCs w:val="21"/>
                <w14:textFill>
                  <w14:solidFill>
                    <w14:schemeClr w14:val="tx1"/>
                  </w14:solidFill>
                </w14:textFill>
              </w:rPr>
              <w:t>属于四类过程性信息</w:t>
            </w:r>
            <w:bookmarkEnd w:id="4"/>
          </w:p>
        </w:tc>
        <w:tc>
          <w:tcPr>
            <w:tcW w:w="752"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699" w:type="dxa"/>
            <w:vMerge w:val="continue"/>
            <w:shd w:val="clear" w:color="auto" w:fill="auto"/>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3"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7.属于行政执法案卷</w:t>
            </w:r>
          </w:p>
        </w:tc>
        <w:tc>
          <w:tcPr>
            <w:tcW w:w="752"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699" w:type="dxa"/>
            <w:vMerge w:val="continue"/>
            <w:shd w:val="clear" w:color="auto" w:fill="auto"/>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3"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8.</w:t>
            </w:r>
            <w:bookmarkStart w:id="5" w:name="_Hlk66975211"/>
            <w:r>
              <w:rPr>
                <w:rFonts w:hint="eastAsia" w:ascii="仿宋_GB2312" w:hAnsi="黑体" w:eastAsia="仿宋_GB2312"/>
                <w:color w:val="000000" w:themeColor="text1"/>
                <w:kern w:val="0"/>
                <w:szCs w:val="21"/>
                <w14:textFill>
                  <w14:solidFill>
                    <w14:schemeClr w14:val="tx1"/>
                  </w14:solidFill>
                </w14:textFill>
              </w:rPr>
              <w:t>属于行政查询事项</w:t>
            </w:r>
            <w:bookmarkEnd w:id="5"/>
          </w:p>
        </w:tc>
        <w:tc>
          <w:tcPr>
            <w:tcW w:w="752"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699"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（四）无法提供</w:t>
            </w:r>
          </w:p>
        </w:tc>
        <w:tc>
          <w:tcPr>
            <w:tcW w:w="2973"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1.本机关不掌握相关政府信息</w:t>
            </w:r>
          </w:p>
        </w:tc>
        <w:tc>
          <w:tcPr>
            <w:tcW w:w="752"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699" w:type="dxa"/>
            <w:vMerge w:val="continue"/>
            <w:shd w:val="clear" w:color="auto" w:fill="auto"/>
            <w:tcMar>
              <w:left w:w="108" w:type="dxa"/>
              <w:right w:w="108" w:type="dxa"/>
            </w:tcMar>
            <w:vAlign w:val="center"/>
          </w:tcPr>
          <w:p>
            <w:pPr>
              <w:spacing w:line="200" w:lineRule="exact"/>
              <w:ind w:left="-107" w:leftChars="-51"/>
              <w:rPr>
                <w:rFonts w:ascii="黑体" w:hAnsi="黑体" w:eastAsia="黑体"/>
                <w:color w:val="000000" w:themeColor="text1"/>
                <w:szCs w:val="21"/>
                <w14:textFill>
                  <w14:solidFill>
                    <w14:schemeClr w14:val="tx1"/>
                  </w14:solidFill>
                </w14:textFill>
              </w:rPr>
            </w:pPr>
          </w:p>
        </w:tc>
        <w:tc>
          <w:tcPr>
            <w:tcW w:w="2973"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2.</w:t>
            </w:r>
            <w:bookmarkStart w:id="6" w:name="_Hlk66975392"/>
            <w:r>
              <w:rPr>
                <w:rFonts w:hint="eastAsia" w:ascii="仿宋_GB2312" w:hAnsi="黑体" w:eastAsia="仿宋_GB2312"/>
                <w:color w:val="000000" w:themeColor="text1"/>
                <w:kern w:val="0"/>
                <w:szCs w:val="21"/>
                <w14:textFill>
                  <w14:solidFill>
                    <w14:schemeClr w14:val="tx1"/>
                  </w14:solidFill>
                </w14:textFill>
              </w:rPr>
              <w:t>没有现成信息需要另行制作</w:t>
            </w:r>
            <w:bookmarkEnd w:id="6"/>
          </w:p>
        </w:tc>
        <w:tc>
          <w:tcPr>
            <w:tcW w:w="752"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699" w:type="dxa"/>
            <w:vMerge w:val="continue"/>
            <w:shd w:val="clear" w:color="auto" w:fill="auto"/>
            <w:tcMar>
              <w:left w:w="108" w:type="dxa"/>
              <w:right w:w="108" w:type="dxa"/>
            </w:tcMar>
            <w:vAlign w:val="center"/>
          </w:tcPr>
          <w:p>
            <w:pPr>
              <w:spacing w:line="200" w:lineRule="exact"/>
              <w:ind w:left="-107" w:leftChars="-51"/>
              <w:rPr>
                <w:rFonts w:ascii="黑体" w:hAnsi="黑体" w:eastAsia="黑体"/>
                <w:color w:val="000000" w:themeColor="text1"/>
                <w:szCs w:val="21"/>
                <w14:textFill>
                  <w14:solidFill>
                    <w14:schemeClr w14:val="tx1"/>
                  </w14:solidFill>
                </w14:textFill>
              </w:rPr>
            </w:pPr>
          </w:p>
        </w:tc>
        <w:tc>
          <w:tcPr>
            <w:tcW w:w="2973"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3.</w:t>
            </w:r>
            <w:bookmarkStart w:id="7" w:name="_Hlk66975466"/>
            <w:r>
              <w:rPr>
                <w:rFonts w:hint="eastAsia" w:ascii="仿宋_GB2312" w:hAnsi="黑体" w:eastAsia="仿宋_GB2312"/>
                <w:color w:val="000000" w:themeColor="text1"/>
                <w:kern w:val="0"/>
                <w:szCs w:val="21"/>
                <w14:textFill>
                  <w14:solidFill>
                    <w14:schemeClr w14:val="tx1"/>
                  </w14:solidFill>
                </w14:textFill>
              </w:rPr>
              <w:t>补正后申请内容仍不明确</w:t>
            </w:r>
            <w:bookmarkEnd w:id="7"/>
          </w:p>
        </w:tc>
        <w:tc>
          <w:tcPr>
            <w:tcW w:w="752"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699"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（五）不予处理</w:t>
            </w:r>
          </w:p>
        </w:tc>
        <w:tc>
          <w:tcPr>
            <w:tcW w:w="2973"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1.</w:t>
            </w:r>
            <w:bookmarkStart w:id="8" w:name="_Hlk66975537"/>
            <w:r>
              <w:rPr>
                <w:rFonts w:hint="eastAsia" w:ascii="仿宋_GB2312" w:hAnsi="黑体" w:eastAsia="仿宋_GB2312"/>
                <w:color w:val="000000" w:themeColor="text1"/>
                <w:kern w:val="0"/>
                <w:szCs w:val="21"/>
                <w14:textFill>
                  <w14:solidFill>
                    <w14:schemeClr w14:val="tx1"/>
                  </w14:solidFill>
                </w14:textFill>
              </w:rPr>
              <w:t>信访举报投诉类申请</w:t>
            </w:r>
            <w:bookmarkEnd w:id="8"/>
          </w:p>
        </w:tc>
        <w:tc>
          <w:tcPr>
            <w:tcW w:w="752"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699" w:type="dxa"/>
            <w:vMerge w:val="continue"/>
            <w:shd w:val="clear" w:color="auto" w:fill="auto"/>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3"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2.重复申请</w:t>
            </w:r>
          </w:p>
        </w:tc>
        <w:tc>
          <w:tcPr>
            <w:tcW w:w="752"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699" w:type="dxa"/>
            <w:vMerge w:val="continue"/>
            <w:shd w:val="clear" w:color="auto" w:fill="auto"/>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3"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3.要求提供公开出版物</w:t>
            </w:r>
          </w:p>
        </w:tc>
        <w:tc>
          <w:tcPr>
            <w:tcW w:w="752"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5"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699" w:type="dxa"/>
            <w:vMerge w:val="continue"/>
            <w:shd w:val="clear" w:color="auto" w:fill="auto"/>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3"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4.无正当理由大量反复申请</w:t>
            </w:r>
          </w:p>
        </w:tc>
        <w:tc>
          <w:tcPr>
            <w:tcW w:w="752"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699" w:type="dxa"/>
            <w:vMerge w:val="continue"/>
            <w:shd w:val="clear" w:color="auto" w:fill="auto"/>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3" w:type="dxa"/>
            <w:shd w:val="clear" w:color="auto" w:fill="auto"/>
            <w:tcMar>
              <w:left w:w="108" w:type="dxa"/>
              <w:right w:w="108" w:type="dxa"/>
            </w:tcMar>
            <w:vAlign w:val="center"/>
          </w:tcPr>
          <w:p>
            <w:pPr>
              <w:widowControl/>
              <w:spacing w:line="3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5.要求行政机关确认或重新</w:t>
            </w:r>
          </w:p>
          <w:p>
            <w:pPr>
              <w:widowControl/>
              <w:spacing w:line="300" w:lineRule="exact"/>
              <w:ind w:firstLine="210" w:firstLineChars="100"/>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出具已获取信息</w:t>
            </w:r>
          </w:p>
        </w:tc>
        <w:tc>
          <w:tcPr>
            <w:tcW w:w="752"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699" w:type="dxa"/>
            <w:vMerge w:val="restart"/>
            <w:shd w:val="clear" w:color="auto" w:fill="auto"/>
            <w:tcMar>
              <w:left w:w="108" w:type="dxa"/>
              <w:right w:w="108" w:type="dxa"/>
            </w:tcMar>
            <w:vAlign w:val="center"/>
          </w:tcPr>
          <w:p>
            <w:pPr>
              <w:widowControl/>
              <w:spacing w:line="300" w:lineRule="exact"/>
              <w:rPr>
                <w:rFonts w:ascii="黑体" w:hAnsi="黑体" w:eastAsia="黑体"/>
                <w:color w:val="000000" w:themeColor="text1"/>
                <w:kern w:val="0"/>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（六）其他处理</w:t>
            </w:r>
          </w:p>
        </w:tc>
        <w:tc>
          <w:tcPr>
            <w:tcW w:w="2973" w:type="dxa"/>
            <w:shd w:val="clear" w:color="auto" w:fill="auto"/>
            <w:vAlign w:val="center"/>
          </w:tcPr>
          <w:p>
            <w:pPr>
              <w:widowControl/>
              <w:spacing w:line="300" w:lineRule="exact"/>
              <w:rPr>
                <w:rFonts w:ascii="仿宋_GB2312" w:hAnsi="楷体" w:eastAsia="仿宋_GB2312"/>
                <w:color w:val="000000" w:themeColor="text1"/>
                <w14:textFill>
                  <w14:solidFill>
                    <w14:schemeClr w14:val="tx1"/>
                  </w14:solidFill>
                </w14:textFill>
              </w:rPr>
            </w:pPr>
            <w:r>
              <w:rPr>
                <w:rFonts w:hint="eastAsia" w:ascii="仿宋_GB2312" w:hAnsi="楷体" w:eastAsia="仿宋_GB2312"/>
                <w:color w:val="000000" w:themeColor="text1"/>
                <w14:textFill>
                  <w14:solidFill>
                    <w14:schemeClr w14:val="tx1"/>
                  </w14:solidFill>
                </w14:textFill>
              </w:rPr>
              <w:t>1.申请人无正当理由逾期不补正、行政机关不再处理其政府信息公开申请</w:t>
            </w:r>
          </w:p>
        </w:tc>
        <w:tc>
          <w:tcPr>
            <w:tcW w:w="752"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699" w:type="dxa"/>
            <w:vMerge w:val="continue"/>
            <w:shd w:val="clear" w:color="auto" w:fill="auto"/>
            <w:tcMar>
              <w:left w:w="108" w:type="dxa"/>
              <w:right w:w="108" w:type="dxa"/>
            </w:tcMar>
            <w:vAlign w:val="center"/>
          </w:tcPr>
          <w:p>
            <w:pPr>
              <w:widowControl/>
              <w:spacing w:line="300" w:lineRule="exact"/>
              <w:rPr>
                <w:rFonts w:ascii="黑体" w:hAnsi="黑体" w:eastAsia="黑体"/>
                <w:color w:val="000000" w:themeColor="text1"/>
                <w:kern w:val="0"/>
                <w:szCs w:val="21"/>
                <w14:textFill>
                  <w14:solidFill>
                    <w14:schemeClr w14:val="tx1"/>
                  </w14:solidFill>
                </w14:textFill>
              </w:rPr>
            </w:pPr>
          </w:p>
        </w:tc>
        <w:tc>
          <w:tcPr>
            <w:tcW w:w="2973" w:type="dxa"/>
            <w:shd w:val="clear" w:color="auto" w:fill="auto"/>
            <w:vAlign w:val="center"/>
          </w:tcPr>
          <w:p>
            <w:pPr>
              <w:widowControl/>
              <w:spacing w:line="3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楷体" w:eastAsia="仿宋_GB2312"/>
                <w:color w:val="000000" w:themeColor="text1"/>
                <w14:textFill>
                  <w14:solidFill>
                    <w14:schemeClr w14:val="tx1"/>
                  </w14:solidFill>
                </w14:textFill>
              </w:rPr>
              <w:t>2.申请人逾期未按收费通知要求缴纳费用、行政机关不再处理其政府信息公开申请</w:t>
            </w:r>
          </w:p>
        </w:tc>
        <w:tc>
          <w:tcPr>
            <w:tcW w:w="752"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699" w:type="dxa"/>
            <w:vMerge w:val="continue"/>
            <w:shd w:val="clear" w:color="auto" w:fill="auto"/>
            <w:tcMar>
              <w:left w:w="108" w:type="dxa"/>
              <w:right w:w="108" w:type="dxa"/>
            </w:tcMar>
            <w:vAlign w:val="center"/>
          </w:tcPr>
          <w:p>
            <w:pPr>
              <w:widowControl/>
              <w:spacing w:line="300" w:lineRule="exact"/>
              <w:rPr>
                <w:rFonts w:ascii="黑体" w:hAnsi="黑体" w:eastAsia="黑体"/>
                <w:color w:val="000000" w:themeColor="text1"/>
                <w:kern w:val="0"/>
                <w:szCs w:val="21"/>
                <w14:textFill>
                  <w14:solidFill>
                    <w14:schemeClr w14:val="tx1"/>
                  </w14:solidFill>
                </w14:textFill>
              </w:rPr>
            </w:pPr>
          </w:p>
        </w:tc>
        <w:tc>
          <w:tcPr>
            <w:tcW w:w="2973" w:type="dxa"/>
            <w:shd w:val="clear" w:color="auto" w:fill="auto"/>
            <w:vAlign w:val="center"/>
          </w:tcPr>
          <w:p>
            <w:pPr>
              <w:widowControl/>
              <w:spacing w:line="3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楷体" w:eastAsia="仿宋_GB2312"/>
                <w:color w:val="000000" w:themeColor="text1"/>
                <w14:textFill>
                  <w14:solidFill>
                    <w14:schemeClr w14:val="tx1"/>
                  </w14:solidFill>
                </w14:textFill>
              </w:rPr>
              <w:t>3.其他</w:t>
            </w:r>
          </w:p>
        </w:tc>
        <w:tc>
          <w:tcPr>
            <w:tcW w:w="752"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4672" w:type="dxa"/>
            <w:gridSpan w:val="2"/>
            <w:shd w:val="clear" w:color="auto" w:fill="auto"/>
            <w:tcMar>
              <w:left w:w="108" w:type="dxa"/>
              <w:right w:w="108" w:type="dxa"/>
            </w:tcMar>
            <w:vAlign w:val="center"/>
          </w:tcPr>
          <w:p>
            <w:pPr>
              <w:widowControl/>
              <w:spacing w:line="300" w:lineRule="exact"/>
              <w:rPr>
                <w:rFonts w:ascii="黑体" w:hAnsi="黑体" w:eastAsia="黑体"/>
                <w:color w:val="000000" w:themeColor="text1"/>
                <w:kern w:val="0"/>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（七）总计</w:t>
            </w:r>
          </w:p>
        </w:tc>
        <w:tc>
          <w:tcPr>
            <w:tcW w:w="752"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bookmarkStart w:id="10" w:name="_GoBack"/>
            <w:bookmarkEnd w:id="10"/>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87" w:type="dxa"/>
            <w:gridSpan w:val="3"/>
            <w:shd w:val="clear" w:color="auto" w:fill="auto"/>
            <w:tcMar>
              <w:left w:w="108" w:type="dxa"/>
              <w:right w:w="108" w:type="dxa"/>
            </w:tcMar>
            <w:vAlign w:val="center"/>
          </w:tcPr>
          <w:p>
            <w:pPr>
              <w:widowControl/>
              <w:spacing w:line="300" w:lineRule="exact"/>
              <w:rPr>
                <w:rFonts w:ascii="黑体" w:hAnsi="黑体" w:eastAsia="黑体"/>
                <w:color w:val="000000" w:themeColor="text1"/>
                <w:kern w:val="0"/>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四、结转下年度继续办理</w:t>
            </w:r>
          </w:p>
        </w:tc>
        <w:tc>
          <w:tcPr>
            <w:tcW w:w="752"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bl>
    <w:p>
      <w:pPr>
        <w:pStyle w:val="2"/>
        <w:widowControl/>
        <w:spacing w:beforeAutospacing="0" w:afterAutospacing="0" w:line="560" w:lineRule="exact"/>
        <w:ind w:firstLine="640" w:firstLineChars="200"/>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四、因政府信息公开工作被申请行政复议、提起行政诉讼情况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color w:val="000000" w:themeColor="text1"/>
                <w:kern w:val="0"/>
                <w:sz w:val="20"/>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结果</w:t>
            </w:r>
          </w:p>
          <w:p>
            <w:pPr>
              <w:widowControl/>
              <w:ind w:left="-149" w:leftChars="-71" w:right="-170" w:rightChars="-81"/>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color w:val="000000" w:themeColor="text1"/>
                <w:kern w:val="0"/>
                <w:sz w:val="20"/>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尚未</w:t>
            </w:r>
          </w:p>
          <w:p>
            <w:pPr>
              <w:widowControl/>
              <w:ind w:left="-118" w:leftChars="-56" w:right="-118" w:rightChars="-56"/>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color w:val="000000" w:themeColor="text1"/>
                <w:kern w:val="0"/>
                <w:sz w:val="20"/>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总</w:t>
            </w:r>
          </w:p>
          <w:p>
            <w:pPr>
              <w:widowControl/>
              <w:spacing w:line="320" w:lineRule="exact"/>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000000" w:themeColor="text1"/>
                <w14:textFill>
                  <w14:solidFill>
                    <w14:schemeClr w14:val="tx1"/>
                  </w14:solidFill>
                </w14:textFill>
              </w:rPr>
            </w:pPr>
            <w:bookmarkStart w:id="9" w:name="_Hlk67039688"/>
            <w:r>
              <w:rPr>
                <w:rFonts w:ascii="黑体" w:hAnsi="黑体" w:eastAsia="黑体"/>
                <w:color w:val="000000" w:themeColor="text1"/>
                <w:kern w:val="0"/>
                <w:sz w:val="20"/>
                <w14:textFill>
                  <w14:solidFill>
                    <w14:schemeClr w14:val="tx1"/>
                  </w14:solidFill>
                </w14:textFill>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color w:val="000000" w:themeColor="text1"/>
                <w:sz w:val="24"/>
                <w14:textFill>
                  <w14:solidFill>
                    <w14:schemeClr w14:val="tx1"/>
                  </w14:solidFill>
                </w14:textFill>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color w:val="000000" w:themeColor="text1"/>
                <w:sz w:val="24"/>
                <w14:textFill>
                  <w14:solidFill>
                    <w14:schemeClr w14:val="tx1"/>
                  </w14:solidFill>
                </w14:textFill>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color w:val="000000" w:themeColor="text1"/>
                <w:sz w:val="24"/>
                <w14:textFill>
                  <w14:solidFill>
                    <w14:schemeClr w14:val="tx1"/>
                  </w14:solidFill>
                </w14:textFill>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color w:val="000000" w:themeColor="text1"/>
                <w:sz w:val="24"/>
                <w14:textFill>
                  <w14:solidFill>
                    <w14:schemeClr w14:val="tx1"/>
                  </w14:solidFill>
                </w14:textFill>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color w:val="000000" w:themeColor="text1"/>
                <w:sz w:val="24"/>
                <w14:textFill>
                  <w14:solidFill>
                    <w14:schemeClr w14:val="tx1"/>
                  </w14:solidFill>
                </w14:textFill>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color w:val="000000" w:themeColor="text1"/>
                <w:kern w:val="0"/>
                <w:sz w:val="20"/>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其他</w:t>
            </w:r>
          </w:p>
          <w:p>
            <w:pPr>
              <w:widowControl/>
              <w:ind w:left="-126" w:leftChars="-60" w:right="-136" w:rightChars="-65"/>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color w:val="000000" w:themeColor="text1"/>
                <w:kern w:val="0"/>
                <w:sz w:val="20"/>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尚未</w:t>
            </w:r>
          </w:p>
          <w:p>
            <w:pPr>
              <w:widowControl/>
              <w:ind w:left="-164" w:leftChars="-78" w:right="-153" w:rightChars="-73"/>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color w:val="000000" w:themeColor="text1"/>
                <w:kern w:val="0"/>
                <w:sz w:val="20"/>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结果</w:t>
            </w:r>
          </w:p>
          <w:p>
            <w:pPr>
              <w:widowControl/>
              <w:ind w:left="-136" w:leftChars="-65" w:right="-124" w:rightChars="-59"/>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color w:val="000000" w:themeColor="text1"/>
                <w:kern w:val="0"/>
                <w:sz w:val="20"/>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其他</w:t>
            </w:r>
          </w:p>
          <w:p>
            <w:pPr>
              <w:widowControl/>
              <w:ind w:left="-173" w:leftChars="-83" w:right="-134" w:rightChars="-64" w:hanging="1"/>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r>
    </w:tbl>
    <w:p>
      <w:pPr>
        <w:pStyle w:val="2"/>
        <w:widowControl/>
        <w:spacing w:beforeAutospacing="0" w:afterAutospacing="0" w:line="560" w:lineRule="exact"/>
        <w:ind w:firstLine="640" w:firstLineChars="200"/>
        <w:rPr>
          <w:rFonts w:hint="eastAsia" w:ascii="黑体" w:hAnsi="黑体" w:eastAsia="黑体" w:cs="sans-serif"/>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五、存在的主要问题及改进情况</w:t>
      </w:r>
    </w:p>
    <w:p>
      <w:pPr>
        <w:pStyle w:val="2"/>
        <w:widowControl/>
        <w:spacing w:beforeAutospacing="0" w:afterAutospacing="0" w:line="560" w:lineRule="exact"/>
        <w:ind w:firstLine="640" w:firstLineChars="200"/>
        <w:rPr>
          <w:rFonts w:hint="eastAsia" w:ascii="楷体_GB2312" w:hAnsi="sans-serif" w:eastAsia="楷体_GB2312" w:cs="sans-serif"/>
          <w:color w:val="000000" w:themeColor="text1"/>
          <w:sz w:val="32"/>
          <w:szCs w:val="32"/>
          <w14:textFill>
            <w14:solidFill>
              <w14:schemeClr w14:val="tx1"/>
            </w14:solidFill>
          </w14:textFill>
        </w:rPr>
      </w:pPr>
      <w:r>
        <w:rPr>
          <w:rFonts w:hint="eastAsia" w:ascii="楷体_GB2312" w:hAnsi="sans-serif" w:eastAsia="楷体_GB2312" w:cs="仿宋_GB2312"/>
          <w:color w:val="000000" w:themeColor="text1"/>
          <w:sz w:val="32"/>
          <w:szCs w:val="32"/>
          <w14:textFill>
            <w14:solidFill>
              <w14:schemeClr w14:val="tx1"/>
            </w14:solidFill>
          </w14:textFill>
        </w:rPr>
        <w:t>（一）2022年问题整改情况</w:t>
      </w:r>
    </w:p>
    <w:p>
      <w:pPr>
        <w:pStyle w:val="2"/>
        <w:widowControl/>
        <w:spacing w:beforeAutospacing="0" w:afterAutospacing="0" w:line="560" w:lineRule="exact"/>
        <w:ind w:firstLine="640" w:firstLineChars="200"/>
        <w:rPr>
          <w:rFonts w:hint="eastAsia" w:ascii="仿宋_GB2312" w:hAnsi="sans-serif" w:eastAsia="仿宋_GB2312" w:cs="sans-serif"/>
          <w:color w:val="000000" w:themeColor="text1"/>
          <w:sz w:val="32"/>
          <w:szCs w:val="32"/>
          <w14:textFill>
            <w14:solidFill>
              <w14:schemeClr w14:val="tx1"/>
            </w14:solidFill>
          </w14:textFill>
        </w:rPr>
      </w:pPr>
      <w:r>
        <w:rPr>
          <w:rFonts w:hint="eastAsia" w:ascii="仿宋_GB2312" w:hAnsi="sans-serif" w:eastAsia="仿宋_GB2312" w:cs="仿宋_GB2312"/>
          <w:color w:val="000000" w:themeColor="text1"/>
          <w:sz w:val="32"/>
          <w:szCs w:val="32"/>
          <w14:textFill>
            <w14:solidFill>
              <w14:schemeClr w14:val="tx1"/>
            </w14:solidFill>
          </w14:textFill>
        </w:rPr>
        <w:t>一是进一步提升政务新媒体账号关注度，扩大辐射范围。政务新媒体以内容建设为根本，紧紧围绕本地、本单位决策、执行、管理、服务、结果公开，及时通过政务新媒体发布内容的同时，更加注重信息质量，努力实现群众需要的信息触手可得。以门户网站和政务新媒体为载体，实时动态更新政策信息、部门工作动态150余篇，其中包含20余篇习近平总书记重要讲话以及党中央、国务院和省、市、区重大决策部署等权威信息。</w:t>
      </w:r>
    </w:p>
    <w:p>
      <w:pPr>
        <w:pStyle w:val="2"/>
        <w:widowControl/>
        <w:spacing w:beforeAutospacing="0" w:afterAutospacing="0" w:line="560" w:lineRule="exact"/>
        <w:ind w:firstLine="640" w:firstLineChars="200"/>
        <w:rPr>
          <w:rFonts w:hint="eastAsia" w:ascii="仿宋_GB2312" w:hAnsi="sans-serif" w:eastAsia="仿宋_GB2312" w:cs="sans-serif"/>
          <w:color w:val="000000" w:themeColor="text1"/>
          <w:sz w:val="32"/>
          <w:szCs w:val="32"/>
          <w14:textFill>
            <w14:solidFill>
              <w14:schemeClr w14:val="tx1"/>
            </w14:solidFill>
          </w14:textFill>
        </w:rPr>
      </w:pPr>
      <w:r>
        <w:rPr>
          <w:rFonts w:hint="eastAsia" w:ascii="仿宋_GB2312" w:hAnsi="sans-serif" w:eastAsia="仿宋_GB2312" w:cs="仿宋_GB2312"/>
          <w:color w:val="000000" w:themeColor="text1"/>
          <w:sz w:val="32"/>
          <w:szCs w:val="32"/>
          <w14:textFill>
            <w14:solidFill>
              <w14:schemeClr w14:val="tx1"/>
            </w14:solidFill>
          </w14:textFill>
        </w:rPr>
        <w:t>二是信息公开工作人员队伍专业素质进一步提升。明确政务公开专人负责制，畅通政务新媒体互动回应渠道，及时了解社会关注热点问题，充分发挥政务新媒体在移动端广泛应用的优势，全方位回应社会关切，及时做到群众有所呼、政府有所应，推动政务新媒体公开质量和服务水平提升。</w:t>
      </w:r>
    </w:p>
    <w:p>
      <w:pPr>
        <w:pStyle w:val="2"/>
        <w:widowControl/>
        <w:spacing w:beforeAutospacing="0" w:afterAutospacing="0" w:line="560" w:lineRule="exact"/>
        <w:ind w:firstLine="640" w:firstLineChars="200"/>
        <w:rPr>
          <w:rFonts w:hint="eastAsia" w:ascii="楷体_GB2312" w:hAnsi="sans-serif" w:eastAsia="楷体_GB2312" w:cs="sans-serif"/>
          <w:color w:val="000000" w:themeColor="text1"/>
          <w:sz w:val="32"/>
          <w:szCs w:val="32"/>
          <w14:textFill>
            <w14:solidFill>
              <w14:schemeClr w14:val="tx1"/>
            </w14:solidFill>
          </w14:textFill>
        </w:rPr>
      </w:pPr>
      <w:r>
        <w:rPr>
          <w:rFonts w:hint="eastAsia" w:ascii="楷体_GB2312" w:hAnsi="sans-serif" w:eastAsia="楷体_GB2312" w:cs="仿宋_GB2312"/>
          <w:color w:val="000000" w:themeColor="text1"/>
          <w:sz w:val="32"/>
          <w:szCs w:val="32"/>
          <w14:textFill>
            <w14:solidFill>
              <w14:schemeClr w14:val="tx1"/>
            </w14:solidFill>
          </w14:textFill>
        </w:rPr>
        <w:t>（二）2023年存在的主要问题</w:t>
      </w:r>
    </w:p>
    <w:p>
      <w:pPr>
        <w:pStyle w:val="2"/>
        <w:widowControl/>
        <w:spacing w:beforeAutospacing="0" w:afterAutospacing="0" w:line="560" w:lineRule="exact"/>
        <w:ind w:firstLine="640" w:firstLineChars="200"/>
        <w:rPr>
          <w:rFonts w:hint="eastAsia" w:ascii="仿宋_GB2312" w:hAnsi="sans-serif" w:eastAsia="仿宋_GB2312" w:cs="sans-serif"/>
          <w:color w:val="000000" w:themeColor="text1"/>
          <w:sz w:val="32"/>
          <w:szCs w:val="32"/>
          <w14:textFill>
            <w14:solidFill>
              <w14:schemeClr w14:val="tx1"/>
            </w14:solidFill>
          </w14:textFill>
        </w:rPr>
      </w:pPr>
      <w:r>
        <w:rPr>
          <w:rFonts w:hint="eastAsia" w:ascii="仿宋_GB2312" w:hAnsi="sans-serif" w:eastAsia="仿宋_GB2312" w:cs="仿宋_GB2312"/>
          <w:color w:val="000000" w:themeColor="text1"/>
          <w:sz w:val="32"/>
          <w:szCs w:val="32"/>
          <w14:textFill>
            <w14:solidFill>
              <w14:schemeClr w14:val="tx1"/>
            </w14:solidFill>
          </w14:textFill>
        </w:rPr>
        <w:t>一是政务信息公开不及时，缺少时效性。部分政务公开栏内的公开内容长时间得不到更新。部分要求公开的文件并没有严格按时间节点公开。</w:t>
      </w:r>
    </w:p>
    <w:p>
      <w:pPr>
        <w:pStyle w:val="2"/>
        <w:widowControl/>
        <w:spacing w:beforeAutospacing="0" w:afterAutospacing="0" w:line="560" w:lineRule="exact"/>
        <w:ind w:firstLine="640" w:firstLineChars="200"/>
        <w:rPr>
          <w:rFonts w:hint="eastAsia" w:ascii="仿宋_GB2312" w:hAnsi="sans-serif" w:eastAsia="仿宋_GB2312" w:cs="sans-serif"/>
          <w:color w:val="000000" w:themeColor="text1"/>
          <w:sz w:val="32"/>
          <w:szCs w:val="32"/>
          <w14:textFill>
            <w14:solidFill>
              <w14:schemeClr w14:val="tx1"/>
            </w14:solidFill>
          </w14:textFill>
        </w:rPr>
      </w:pPr>
      <w:r>
        <w:rPr>
          <w:rFonts w:hint="eastAsia" w:ascii="仿宋_GB2312" w:hAnsi="sans-serif" w:eastAsia="仿宋_GB2312" w:cs="仿宋_GB2312"/>
          <w:color w:val="000000" w:themeColor="text1"/>
          <w:sz w:val="32"/>
          <w:szCs w:val="32"/>
          <w14:textFill>
            <w14:solidFill>
              <w14:schemeClr w14:val="tx1"/>
            </w14:solidFill>
          </w14:textFill>
        </w:rPr>
        <w:t>二是政务公开重点不突出。有些栏目设计的花里胡哨缺少实质性内容，深层次内容公开少，甚至不公开。</w:t>
      </w:r>
    </w:p>
    <w:p>
      <w:pPr>
        <w:pStyle w:val="2"/>
        <w:widowControl/>
        <w:spacing w:beforeAutospacing="0" w:afterAutospacing="0" w:line="560" w:lineRule="exact"/>
        <w:ind w:firstLine="640" w:firstLineChars="200"/>
        <w:rPr>
          <w:rFonts w:hint="eastAsia" w:ascii="楷体_GB2312" w:hAnsi="sans-serif" w:eastAsia="楷体_GB2312" w:cs="sans-serif"/>
          <w:color w:val="000000" w:themeColor="text1"/>
          <w:sz w:val="32"/>
          <w:szCs w:val="32"/>
          <w14:textFill>
            <w14:solidFill>
              <w14:schemeClr w14:val="tx1"/>
            </w14:solidFill>
          </w14:textFill>
        </w:rPr>
      </w:pPr>
      <w:r>
        <w:rPr>
          <w:rFonts w:hint="eastAsia" w:ascii="楷体_GB2312" w:hAnsi="sans-serif" w:eastAsia="楷体_GB2312" w:cs="仿宋_GB2312"/>
          <w:color w:val="000000" w:themeColor="text1"/>
          <w:sz w:val="32"/>
          <w:szCs w:val="32"/>
          <w14:textFill>
            <w14:solidFill>
              <w14:schemeClr w14:val="tx1"/>
            </w14:solidFill>
          </w14:textFill>
        </w:rPr>
        <w:t>（三）下一步改进措施</w:t>
      </w:r>
    </w:p>
    <w:p>
      <w:pPr>
        <w:pStyle w:val="2"/>
        <w:widowControl/>
        <w:spacing w:beforeAutospacing="0" w:afterAutospacing="0" w:line="560" w:lineRule="exact"/>
        <w:ind w:firstLine="640" w:firstLineChars="200"/>
        <w:rPr>
          <w:rFonts w:hint="eastAsia" w:ascii="仿宋_GB2312" w:hAnsi="sans-serif" w:eastAsia="仿宋_GB2312" w:cs="sans-serif"/>
          <w:color w:val="000000" w:themeColor="text1"/>
          <w:sz w:val="32"/>
          <w:szCs w:val="32"/>
          <w14:textFill>
            <w14:solidFill>
              <w14:schemeClr w14:val="tx1"/>
            </w14:solidFill>
          </w14:textFill>
        </w:rPr>
      </w:pPr>
      <w:r>
        <w:rPr>
          <w:rFonts w:hint="eastAsia" w:ascii="仿宋_GB2312" w:hAnsi="sans-serif" w:eastAsia="仿宋_GB2312" w:cs="仿宋_GB2312"/>
          <w:color w:val="000000" w:themeColor="text1"/>
          <w:sz w:val="32"/>
          <w:szCs w:val="32"/>
          <w14:textFill>
            <w14:solidFill>
              <w14:schemeClr w14:val="tx1"/>
            </w14:solidFill>
          </w14:textFill>
        </w:rPr>
        <w:t>一是提高政治站位，把握政务公开时效性。</w:t>
      </w:r>
    </w:p>
    <w:p>
      <w:pPr>
        <w:pStyle w:val="2"/>
        <w:widowControl/>
        <w:spacing w:beforeAutospacing="0" w:afterAutospacing="0" w:line="560" w:lineRule="exact"/>
        <w:ind w:firstLine="640" w:firstLineChars="200"/>
        <w:rPr>
          <w:rFonts w:hint="eastAsia" w:ascii="仿宋_GB2312" w:hAnsi="sans-serif" w:eastAsia="仿宋_GB2312" w:cs="sans-serif"/>
          <w:color w:val="000000" w:themeColor="text1"/>
          <w:sz w:val="32"/>
          <w:szCs w:val="32"/>
          <w14:textFill>
            <w14:solidFill>
              <w14:schemeClr w14:val="tx1"/>
            </w14:solidFill>
          </w14:textFill>
        </w:rPr>
      </w:pPr>
      <w:r>
        <w:rPr>
          <w:rFonts w:hint="eastAsia" w:ascii="仿宋_GB2312" w:hAnsi="sans-serif" w:eastAsia="仿宋_GB2312" w:cs="仿宋_GB2312"/>
          <w:color w:val="000000" w:themeColor="text1"/>
          <w:sz w:val="32"/>
          <w:szCs w:val="32"/>
          <w14:textFill>
            <w14:solidFill>
              <w14:schemeClr w14:val="tx1"/>
            </w14:solidFill>
          </w14:textFill>
        </w:rPr>
        <w:t>始终坚持把党的政治建设放在政府信息公开工作的首要位置，全面贯彻落实习近平新时代中国特色社会主义思想。拓展公开渠道，加强网站建设，及时公开、更新政务信息。</w:t>
      </w:r>
    </w:p>
    <w:p>
      <w:pPr>
        <w:pStyle w:val="2"/>
        <w:widowControl/>
        <w:spacing w:beforeAutospacing="0" w:afterAutospacing="0" w:line="560" w:lineRule="exact"/>
        <w:ind w:firstLine="640" w:firstLineChars="200"/>
        <w:rPr>
          <w:rFonts w:hint="eastAsia" w:ascii="仿宋_GB2312" w:hAnsi="sans-serif" w:eastAsia="仿宋_GB2312" w:cs="sans-serif"/>
          <w:color w:val="000000" w:themeColor="text1"/>
          <w:sz w:val="32"/>
          <w:szCs w:val="32"/>
          <w14:textFill>
            <w14:solidFill>
              <w14:schemeClr w14:val="tx1"/>
            </w14:solidFill>
          </w14:textFill>
        </w:rPr>
      </w:pPr>
      <w:r>
        <w:rPr>
          <w:rFonts w:hint="eastAsia" w:ascii="仿宋_GB2312" w:hAnsi="sans-serif" w:eastAsia="仿宋_GB2312" w:cs="仿宋_GB2312"/>
          <w:color w:val="000000" w:themeColor="text1"/>
          <w:sz w:val="32"/>
          <w:szCs w:val="32"/>
          <w14:textFill>
            <w14:solidFill>
              <w14:schemeClr w14:val="tx1"/>
            </w14:solidFill>
          </w14:textFill>
        </w:rPr>
        <w:t>二是明确工作职责，加强政务公开内容保障。</w:t>
      </w:r>
    </w:p>
    <w:p>
      <w:pPr>
        <w:pStyle w:val="2"/>
        <w:widowControl/>
        <w:spacing w:beforeAutospacing="0" w:afterAutospacing="0" w:line="560" w:lineRule="exact"/>
        <w:ind w:firstLine="640" w:firstLineChars="200"/>
        <w:rPr>
          <w:rFonts w:hint="eastAsia" w:ascii="仿宋_GB2312" w:hAnsi="sans-serif" w:eastAsia="仿宋_GB2312" w:cs="sans-serif"/>
          <w:color w:val="000000" w:themeColor="text1"/>
          <w:sz w:val="32"/>
          <w:szCs w:val="32"/>
          <w14:textFill>
            <w14:solidFill>
              <w14:schemeClr w14:val="tx1"/>
            </w14:solidFill>
          </w14:textFill>
        </w:rPr>
      </w:pPr>
      <w:r>
        <w:rPr>
          <w:rFonts w:hint="eastAsia" w:ascii="仿宋_GB2312" w:hAnsi="sans-serif" w:eastAsia="仿宋_GB2312" w:cs="仿宋_GB2312"/>
          <w:color w:val="000000" w:themeColor="text1"/>
          <w:sz w:val="32"/>
          <w:szCs w:val="32"/>
          <w14:textFill>
            <w14:solidFill>
              <w14:schemeClr w14:val="tx1"/>
            </w14:solidFill>
          </w14:textFill>
        </w:rPr>
        <w:t>明确专人负责政府信息公开日常维护和更新工作，并建立专人监管体制，明确工作职责，严格审核，按照“谁提供、谁负责”和“谁审批、谁负责”的原则，对上网信息内容进行严格审核把关，确保上网信息的安全性、真实性、准确性，加强新媒体内容保障。</w:t>
      </w:r>
    </w:p>
    <w:p>
      <w:pPr>
        <w:pStyle w:val="2"/>
        <w:widowControl/>
        <w:spacing w:beforeAutospacing="0" w:afterAutospacing="0" w:line="560" w:lineRule="exact"/>
        <w:ind w:firstLine="640" w:firstLineChars="200"/>
        <w:rPr>
          <w:rFonts w:hint="eastAsia" w:ascii="仿宋_GB2312" w:hAnsi="sans-serif" w:eastAsia="仿宋_GB2312" w:cs="sans-serif"/>
          <w:color w:val="000000" w:themeColor="text1"/>
          <w:sz w:val="32"/>
          <w:szCs w:val="32"/>
          <w14:textFill>
            <w14:solidFill>
              <w14:schemeClr w14:val="tx1"/>
            </w14:solidFill>
          </w14:textFill>
        </w:rPr>
      </w:pPr>
      <w:r>
        <w:rPr>
          <w:rFonts w:hint="eastAsia" w:ascii="仿宋_GB2312" w:hAnsi="sans-serif" w:eastAsia="仿宋_GB2312" w:cs="仿宋_GB2312"/>
          <w:color w:val="000000" w:themeColor="text1"/>
          <w:sz w:val="32"/>
          <w:szCs w:val="32"/>
          <w14:textFill>
            <w14:solidFill>
              <w14:schemeClr w14:val="tx1"/>
            </w14:solidFill>
          </w14:textFill>
        </w:rPr>
        <w:t>三是持续进行学习，提升管理水平。</w:t>
      </w:r>
    </w:p>
    <w:p>
      <w:pPr>
        <w:pStyle w:val="2"/>
        <w:widowControl/>
        <w:spacing w:beforeAutospacing="0" w:afterAutospacing="0" w:line="560" w:lineRule="exact"/>
        <w:ind w:firstLine="640" w:firstLineChars="200"/>
        <w:rPr>
          <w:rFonts w:hint="eastAsia" w:ascii="仿宋_GB2312" w:hAnsi="sans-serif" w:eastAsia="仿宋_GB2312" w:cs="sans-serif"/>
          <w:color w:val="000000" w:themeColor="text1"/>
          <w:sz w:val="32"/>
          <w:szCs w:val="32"/>
          <w14:textFill>
            <w14:solidFill>
              <w14:schemeClr w14:val="tx1"/>
            </w14:solidFill>
          </w14:textFill>
        </w:rPr>
      </w:pPr>
      <w:r>
        <w:rPr>
          <w:rFonts w:hint="eastAsia" w:ascii="仿宋_GB2312" w:hAnsi="sans-serif" w:eastAsia="仿宋_GB2312" w:cs="仿宋_GB2312"/>
          <w:color w:val="000000" w:themeColor="text1"/>
          <w:sz w:val="32"/>
          <w:szCs w:val="32"/>
          <w14:textFill>
            <w14:solidFill>
              <w14:schemeClr w14:val="tx1"/>
            </w14:solidFill>
          </w14:textFill>
        </w:rPr>
        <w:t>加强政府信息公开人员培训，强化责任意识，切实提高人员队伍的思想认识和业务能力，不断学习优秀政务新媒体账号的成功经验，思索如何做好宣传和内容提质工作。</w:t>
      </w:r>
    </w:p>
    <w:p>
      <w:pPr>
        <w:pStyle w:val="2"/>
        <w:widowControl/>
        <w:spacing w:beforeAutospacing="0" w:afterAutospacing="0" w:line="560" w:lineRule="exact"/>
        <w:ind w:firstLine="640" w:firstLineChars="200"/>
        <w:rPr>
          <w:rFonts w:hint="eastAsia" w:ascii="黑体" w:hAnsi="黑体" w:eastAsia="黑体" w:cs="sans-serif"/>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六、其他需要报告的事项</w:t>
      </w:r>
    </w:p>
    <w:p>
      <w:pPr>
        <w:pStyle w:val="2"/>
        <w:widowControl/>
        <w:spacing w:beforeAutospacing="0" w:afterAutospacing="0" w:line="560" w:lineRule="exact"/>
        <w:ind w:firstLine="640" w:firstLineChars="200"/>
        <w:rPr>
          <w:rFonts w:hint="eastAsia" w:ascii="仿宋_GB2312" w:hAnsi="sans-serif" w:eastAsia="仿宋_GB2312" w:cs="sans-serif"/>
          <w:color w:val="000000" w:themeColor="text1"/>
          <w:sz w:val="32"/>
          <w:szCs w:val="32"/>
          <w14:textFill>
            <w14:solidFill>
              <w14:schemeClr w14:val="tx1"/>
            </w14:solidFill>
          </w14:textFill>
        </w:rPr>
      </w:pPr>
      <w:r>
        <w:rPr>
          <w:rFonts w:hint="eastAsia" w:ascii="仿宋_GB2312" w:hAnsi="sans-serif" w:eastAsia="仿宋_GB2312" w:cs="仿宋_GB2312"/>
          <w:color w:val="000000" w:themeColor="text1"/>
          <w:sz w:val="32"/>
          <w:szCs w:val="32"/>
          <w14:textFill>
            <w14:solidFill>
              <w14:schemeClr w14:val="tx1"/>
            </w14:solidFill>
          </w14:textFill>
        </w:rPr>
        <w:t>1.依据《政府信息公开信息处理费管理办法》，区商务和投资促进局全年没有收取信息公开处理费。</w:t>
      </w:r>
    </w:p>
    <w:p>
      <w:pPr>
        <w:pStyle w:val="2"/>
        <w:widowControl/>
        <w:spacing w:beforeAutospacing="0" w:afterAutospacing="0" w:line="560" w:lineRule="exact"/>
        <w:ind w:firstLine="640" w:firstLineChars="200"/>
        <w:rPr>
          <w:rFonts w:hint="eastAsia" w:ascii="仿宋_GB2312" w:hAnsi="sans-serif" w:eastAsia="仿宋_GB2312" w:cs="sans-serif"/>
          <w:color w:val="000000" w:themeColor="text1"/>
          <w:sz w:val="32"/>
          <w:szCs w:val="32"/>
          <w14:textFill>
            <w14:solidFill>
              <w14:schemeClr w14:val="tx1"/>
            </w14:solidFill>
          </w14:textFill>
        </w:rPr>
      </w:pPr>
      <w:r>
        <w:rPr>
          <w:rFonts w:hint="eastAsia" w:ascii="仿宋_GB2312" w:hAnsi="sans-serif" w:eastAsia="仿宋_GB2312" w:cs="仿宋_GB2312"/>
          <w:color w:val="000000" w:themeColor="text1"/>
          <w:sz w:val="32"/>
          <w:szCs w:val="32"/>
          <w14:textFill>
            <w14:solidFill>
              <w14:schemeClr w14:val="tx1"/>
            </w14:solidFill>
          </w14:textFill>
        </w:rPr>
        <w:t>2.区商务和投资促进局严格按照《台儿庄区人民政府办公室关于印发&lt;2023年台儿庄区政务公开工作要点实施方案&gt;的通知》要求，结合商务工作实际，对2023年政务公开重点工作任务进行分工，科学制定工作要点，有序推进政务公开工作。</w:t>
      </w:r>
    </w:p>
    <w:p>
      <w:pPr>
        <w:pStyle w:val="2"/>
        <w:widowControl/>
        <w:spacing w:beforeAutospacing="0" w:afterAutospacing="0" w:line="560" w:lineRule="exact"/>
        <w:ind w:firstLine="640" w:firstLineChars="200"/>
        <w:rPr>
          <w:rFonts w:hint="eastAsia" w:ascii="仿宋_GB2312" w:hAnsi="sans-serif" w:eastAsia="仿宋_GB2312" w:cs="sans-serif"/>
          <w:color w:val="000000" w:themeColor="text1"/>
          <w:sz w:val="32"/>
          <w:szCs w:val="32"/>
          <w14:textFill>
            <w14:solidFill>
              <w14:schemeClr w14:val="tx1"/>
            </w14:solidFill>
          </w14:textFill>
        </w:rPr>
      </w:pPr>
      <w:r>
        <w:rPr>
          <w:rFonts w:hint="eastAsia" w:ascii="仿宋_GB2312" w:hAnsi="sans-serif" w:eastAsia="仿宋_GB2312" w:cs="仿宋_GB2312"/>
          <w:color w:val="000000" w:themeColor="text1"/>
          <w:sz w:val="32"/>
          <w:szCs w:val="32"/>
          <w14:textFill>
            <w14:solidFill>
              <w14:schemeClr w14:val="tx1"/>
            </w14:solidFill>
          </w14:textFill>
        </w:rPr>
        <w:t>3.区商务和投资促进局全年共收到市级政协提案6件、区级政协提案3件。</w:t>
      </w:r>
    </w:p>
    <w:p>
      <w:pPr>
        <w:pStyle w:val="2"/>
        <w:widowControl/>
        <w:spacing w:beforeAutospacing="0" w:afterAutospacing="0" w:line="560" w:lineRule="exact"/>
        <w:ind w:firstLine="640" w:firstLineChars="200"/>
        <w:rPr>
          <w:rFonts w:ascii="仿宋_GB2312" w:hAnsi="sans-serif" w:eastAsia="仿宋_GB2312" w:cs="仿宋_GB2312"/>
          <w:color w:val="000000" w:themeColor="text1"/>
          <w:sz w:val="32"/>
          <w:szCs w:val="32"/>
          <w14:textFill>
            <w14:solidFill>
              <w14:schemeClr w14:val="tx1"/>
            </w14:solidFill>
          </w14:textFill>
        </w:rPr>
      </w:pPr>
      <w:r>
        <w:rPr>
          <w:rFonts w:hint="eastAsia" w:ascii="仿宋_GB2312" w:hAnsi="sans-serif" w:eastAsia="仿宋_GB2312" w:cs="仿宋_GB2312"/>
          <w:color w:val="000000" w:themeColor="text1"/>
          <w:sz w:val="32"/>
          <w:szCs w:val="32"/>
          <w14:textFill>
            <w14:solidFill>
              <w14:schemeClr w14:val="tx1"/>
            </w14:solidFill>
          </w14:textFill>
        </w:rPr>
        <w:t>4.区商务和投资促进局政务公开</w:t>
      </w:r>
      <w:r>
        <w:rPr>
          <w:rFonts w:hint="eastAsia" w:ascii="仿宋_GB2312" w:hAnsi="sans-serif" w:eastAsia="仿宋_GB2312" w:cs="仿宋_GB2312"/>
          <w:color w:val="000000" w:themeColor="text1"/>
          <w:sz w:val="32"/>
          <w:szCs w:val="32"/>
          <w:lang w:val="en-US" w:eastAsia="zh-CN"/>
          <w14:textFill>
            <w14:solidFill>
              <w14:schemeClr w14:val="tx1"/>
            </w14:solidFill>
          </w14:textFill>
        </w:rPr>
        <w:t>无</w:t>
      </w:r>
      <w:r>
        <w:rPr>
          <w:rFonts w:hint="eastAsia" w:ascii="仿宋_GB2312" w:hAnsi="sans-serif" w:eastAsia="仿宋_GB2312" w:cs="仿宋_GB2312"/>
          <w:color w:val="000000" w:themeColor="text1"/>
          <w:sz w:val="32"/>
          <w:szCs w:val="32"/>
          <w14:textFill>
            <w14:solidFill>
              <w14:schemeClr w14:val="tx1"/>
            </w14:solidFill>
          </w14:textFill>
        </w:rPr>
        <w:t>工作创新情况。</w:t>
      </w:r>
    </w:p>
    <w:p>
      <w:pPr>
        <w:pStyle w:val="2"/>
        <w:widowControl/>
        <w:spacing w:beforeAutospacing="0" w:afterAutospacing="0" w:line="560" w:lineRule="exact"/>
        <w:ind w:firstLine="640" w:firstLineChars="200"/>
        <w:rPr>
          <w:rFonts w:hint="eastAsia" w:ascii="仿宋_GB2312" w:hAnsi="sans-serif" w:eastAsia="仿宋_GB2312" w:cs="sans-serif"/>
          <w:color w:val="000000" w:themeColor="text1"/>
          <w:sz w:val="32"/>
          <w:szCs w:val="32"/>
          <w14:textFill>
            <w14:solidFill>
              <w14:schemeClr w14:val="tx1"/>
            </w14:solidFill>
          </w14:textFill>
        </w:rPr>
      </w:pPr>
      <w:r>
        <w:rPr>
          <w:rFonts w:ascii="仿宋_GB2312" w:hAnsi="sans-serif" w:eastAsia="仿宋_GB2312" w:cs="仿宋_GB2312"/>
          <w:color w:val="000000" w:themeColor="text1"/>
          <w:sz w:val="32"/>
          <w:szCs w:val="32"/>
          <w14:textFill>
            <w14:solidFill>
              <w14:schemeClr w14:val="tx1"/>
            </w14:solidFill>
          </w14:textFill>
        </w:rPr>
        <w:t>5.</w:t>
      </w:r>
      <w:r>
        <w:rPr>
          <w:rFonts w:hint="eastAsia" w:ascii="仿宋_GB2312" w:hAnsi="sans-serif" w:eastAsia="仿宋_GB2312" w:cs="仿宋_GB2312"/>
          <w:color w:val="000000" w:themeColor="text1"/>
          <w:sz w:val="32"/>
          <w:szCs w:val="32"/>
          <w14:textFill>
            <w14:solidFill>
              <w14:schemeClr w14:val="tx1"/>
            </w14:solidFill>
          </w14:textFill>
        </w:rPr>
        <w:t>本报告中所列数据的统计期限为2023年1月1日至2023年12月31日。</w:t>
      </w:r>
    </w:p>
    <w:p>
      <w:pPr>
        <w:pStyle w:val="2"/>
        <w:widowControl/>
        <w:spacing w:beforeAutospacing="0" w:afterAutospacing="0" w:line="560" w:lineRule="exact"/>
        <w:ind w:firstLine="640" w:firstLineChars="200"/>
        <w:rPr>
          <w:rFonts w:hint="eastAsia" w:ascii="仿宋_GB2312" w:hAnsi="sans-serif" w:eastAsia="仿宋_GB2312" w:cs="sans-serif"/>
          <w:color w:val="000000" w:themeColor="text1"/>
          <w:sz w:val="32"/>
          <w:szCs w:val="32"/>
          <w14:textFill>
            <w14:solidFill>
              <w14:schemeClr w14:val="tx1"/>
            </w14:solidFill>
          </w14:textFill>
        </w:rPr>
      </w:pPr>
      <w:r>
        <w:rPr>
          <w:rFonts w:ascii="仿宋_GB2312" w:hAnsi="sans-serif" w:eastAsia="仿宋_GB2312" w:cs="仿宋_GB2312"/>
          <w:color w:val="000000" w:themeColor="text1"/>
          <w:sz w:val="32"/>
          <w:szCs w:val="32"/>
          <w14:textFill>
            <w14:solidFill>
              <w14:schemeClr w14:val="tx1"/>
            </w14:solidFill>
          </w14:textFill>
        </w:rPr>
        <w:t>6</w:t>
      </w:r>
      <w:r>
        <w:rPr>
          <w:rFonts w:hint="eastAsia" w:ascii="仿宋_GB2312" w:hAnsi="sans-serif" w:eastAsia="仿宋_GB2312" w:cs="仿宋_GB2312"/>
          <w:color w:val="000000" w:themeColor="text1"/>
          <w:sz w:val="32"/>
          <w:szCs w:val="32"/>
          <w14:textFill>
            <w14:solidFill>
              <w14:schemeClr w14:val="tx1"/>
            </w14:solidFill>
          </w14:textFill>
        </w:rPr>
        <w:t>.区商务和投资促进局本年度没有其他需要报告的事项。</w:t>
      </w:r>
    </w:p>
    <w:p>
      <w:pPr>
        <w:pStyle w:val="2"/>
        <w:widowControl/>
        <w:spacing w:beforeAutospacing="0" w:afterAutospacing="0" w:line="560" w:lineRule="exact"/>
        <w:ind w:firstLine="640" w:firstLineChars="200"/>
        <w:rPr>
          <w:rFonts w:hint="eastAsia" w:ascii="仿宋_GB2312" w:hAnsi="sans-serif" w:eastAsia="仿宋_GB2312" w:cs="sans-serif"/>
          <w:color w:val="000000" w:themeColor="text1"/>
          <w:sz w:val="32"/>
          <w:szCs w:val="32"/>
          <w14:textFill>
            <w14:solidFill>
              <w14:schemeClr w14:val="tx1"/>
            </w14:solidFill>
          </w14:textFill>
        </w:rPr>
      </w:pPr>
      <w:r>
        <w:rPr>
          <w:rFonts w:ascii="仿宋_GB2312" w:hAnsi="sans-serif" w:eastAsia="仿宋_GB2312" w:cs="仿宋_GB2312"/>
          <w:color w:val="000000" w:themeColor="text1"/>
          <w:sz w:val="32"/>
          <w:szCs w:val="32"/>
          <w14:textFill>
            <w14:solidFill>
              <w14:schemeClr w14:val="tx1"/>
            </w14:solidFill>
          </w14:textFill>
        </w:rPr>
        <w:t>7</w:t>
      </w:r>
      <w:r>
        <w:rPr>
          <w:rFonts w:hint="eastAsia" w:ascii="仿宋_GB2312" w:hAnsi="sans-serif" w:eastAsia="仿宋_GB2312" w:cs="仿宋_GB2312"/>
          <w:color w:val="000000" w:themeColor="text1"/>
          <w:sz w:val="32"/>
          <w:szCs w:val="32"/>
          <w14:textFill>
            <w14:solidFill>
              <w14:schemeClr w14:val="tx1"/>
            </w14:solidFill>
          </w14:textFill>
        </w:rPr>
        <w:t>.区商务和投资促进局无其他有关文件专门要求通过政府信息公开工作年度报告予以报告的事项。</w:t>
      </w:r>
    </w:p>
    <w:p>
      <w:pPr>
        <w:pStyle w:val="2"/>
        <w:widowControl/>
        <w:spacing w:beforeAutospacing="0" w:afterAutospacing="0" w:line="560" w:lineRule="exact"/>
        <w:ind w:firstLine="640" w:firstLineChars="200"/>
        <w:jc w:val="right"/>
        <w:rPr>
          <w:rFonts w:ascii="仿宋_GB2312" w:hAnsi="sans-serif" w:eastAsia="仿宋_GB2312" w:cs="仿宋_GB2312"/>
          <w:color w:val="000000" w:themeColor="text1"/>
          <w:sz w:val="32"/>
          <w:szCs w:val="32"/>
          <w14:textFill>
            <w14:solidFill>
              <w14:schemeClr w14:val="tx1"/>
            </w14:solidFill>
          </w14:textFill>
        </w:rPr>
      </w:pPr>
    </w:p>
    <w:p>
      <w:pPr>
        <w:pStyle w:val="2"/>
        <w:widowControl/>
        <w:spacing w:beforeAutospacing="0" w:afterAutospacing="0" w:line="560" w:lineRule="exact"/>
        <w:ind w:firstLine="640" w:firstLineChars="200"/>
        <w:jc w:val="right"/>
        <w:rPr>
          <w:rFonts w:hint="eastAsia" w:ascii="仿宋_GB2312" w:hAnsi="sans-serif" w:eastAsia="仿宋_GB2312" w:cs="sans-serif"/>
          <w:color w:val="000000" w:themeColor="text1"/>
          <w:sz w:val="32"/>
          <w:szCs w:val="32"/>
          <w14:textFill>
            <w14:solidFill>
              <w14:schemeClr w14:val="tx1"/>
            </w14:solidFill>
          </w14:textFill>
        </w:rPr>
      </w:pPr>
      <w:r>
        <w:rPr>
          <w:rFonts w:hint="eastAsia" w:ascii="仿宋_GB2312" w:hAnsi="sans-serif" w:eastAsia="仿宋_GB2312" w:cs="仿宋_GB2312"/>
          <w:color w:val="000000" w:themeColor="text1"/>
          <w:sz w:val="32"/>
          <w:szCs w:val="32"/>
          <w14:textFill>
            <w14:solidFill>
              <w14:schemeClr w14:val="tx1"/>
            </w14:solidFill>
          </w14:textFill>
        </w:rPr>
        <w:t>枣庄市台儿庄区商务和投资促进局</w:t>
      </w:r>
    </w:p>
    <w:p>
      <w:pPr>
        <w:pStyle w:val="2"/>
        <w:widowControl/>
        <w:spacing w:beforeAutospacing="0" w:afterAutospacing="0" w:line="560" w:lineRule="exact"/>
        <w:ind w:firstLine="640" w:firstLineChars="200"/>
        <w:jc w:val="right"/>
        <w:rPr>
          <w:rFonts w:hint="eastAsia" w:ascii="仿宋_GB2312" w:hAnsi="sans-serif" w:eastAsia="仿宋_GB2312" w:cs="sans-serif"/>
          <w:color w:val="000000" w:themeColor="text1"/>
          <w:sz w:val="32"/>
          <w:szCs w:val="32"/>
          <w14:textFill>
            <w14:solidFill>
              <w14:schemeClr w14:val="tx1"/>
            </w14:solidFill>
          </w14:textFill>
        </w:rPr>
      </w:pPr>
      <w:r>
        <w:rPr>
          <w:rFonts w:hint="eastAsia" w:ascii="仿宋_GB2312" w:hAnsi="sans-serif" w:eastAsia="仿宋_GB2312" w:cs="仿宋_GB2312"/>
          <w:color w:val="000000" w:themeColor="text1"/>
          <w:sz w:val="32"/>
          <w:szCs w:val="32"/>
          <w14:textFill>
            <w14:solidFill>
              <w14:schemeClr w14:val="tx1"/>
            </w14:solidFill>
          </w14:textFill>
        </w:rPr>
        <w:t>2024年1月19日</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p>
    <w:sectPr>
      <w:pgSz w:w="11906" w:h="16838"/>
      <w:pgMar w:top="1985" w:right="1588" w:bottom="1701"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1ZWQ1N2ZjZDM1OGNjYjdiOTc3YTYzNzRjMjFmOTcifQ=="/>
  </w:docVars>
  <w:rsids>
    <w:rsidRoot w:val="44870ACD"/>
    <w:rsid w:val="00104FEF"/>
    <w:rsid w:val="001D6020"/>
    <w:rsid w:val="00341DE1"/>
    <w:rsid w:val="006B1B22"/>
    <w:rsid w:val="00FF302B"/>
    <w:rsid w:val="01695955"/>
    <w:rsid w:val="22B21E37"/>
    <w:rsid w:val="379D4DCD"/>
    <w:rsid w:val="38396F95"/>
    <w:rsid w:val="3EF95160"/>
    <w:rsid w:val="44870ACD"/>
    <w:rsid w:val="60463850"/>
    <w:rsid w:val="62D022B3"/>
    <w:rsid w:val="661C2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553</Words>
  <Characters>3156</Characters>
  <Lines>26</Lines>
  <Paragraphs>7</Paragraphs>
  <TotalTime>10</TotalTime>
  <ScaleCrop>false</ScaleCrop>
  <LinksUpToDate>false</LinksUpToDate>
  <CharactersWithSpaces>3702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2024-01-19T08:27:00Z</dcterms:created>
  <dc:creator>大菜松奈</dc:creator>
  <cp:lastModifiedBy>任育娇</cp:lastModifiedBy>
  <dcterms:modified xsi:type="dcterms:W3CDTF">2024-03-27T02:15:20Z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A68DA98F0BBB40C1B38E58378F5CE89A_11</vt:lpwstr>
  </property>
</Properties>
</file>