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枣庄市台儿庄区</w:t>
      </w:r>
      <w:r>
        <w:rPr>
          <w:rFonts w:hint="eastAsia" w:ascii="方正小标宋简体" w:hAnsi="方正小标宋简体" w:eastAsia="方正小标宋简体" w:cs="方正小标宋简体"/>
          <w:sz w:val="44"/>
          <w:szCs w:val="44"/>
        </w:rPr>
        <w:t>科技</w:t>
      </w:r>
      <w:r>
        <w:rPr>
          <w:rFonts w:hint="eastAsia" w:ascii="方正小标宋简体" w:hAnsi="方正小标宋简体" w:eastAsia="方正小标宋简体" w:cs="方正小标宋简体"/>
          <w:bCs/>
          <w:sz w:val="44"/>
          <w:szCs w:val="44"/>
          <w:shd w:val="clear" w:color="auto" w:fill="FFFFFF"/>
        </w:rPr>
        <w:t>局</w:t>
      </w:r>
    </w:p>
    <w:p>
      <w:pPr>
        <w:pStyle w:val="4"/>
        <w:shd w:val="clear" w:color="auto" w:fill="FFFFFF"/>
        <w:spacing w:before="0" w:beforeAutospacing="0" w:after="0" w:afterAutospacing="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shd w:val="clear" w:color="auto" w:fill="FFFFFF"/>
        </w:rPr>
        <w:t>2023年政府信息公开工作年度报告</w:t>
      </w:r>
    </w:p>
    <w:p>
      <w:pPr>
        <w:pStyle w:val="4"/>
        <w:shd w:val="clear" w:color="auto" w:fill="FFFFFF"/>
        <w:spacing w:before="0" w:beforeAutospacing="0" w:after="0" w:afterAutospacing="0" w:line="560" w:lineRule="exact"/>
        <w:ind w:firstLine="457"/>
        <w:jc w:val="both"/>
        <w:rPr>
          <w:rFonts w:cs="宋体"/>
          <w:szCs w:val="24"/>
        </w:rPr>
      </w:pPr>
    </w:p>
    <w:p>
      <w:pPr>
        <w:wordWrap w:val="0"/>
        <w:spacing w:line="560" w:lineRule="exact"/>
        <w:ind w:firstLine="618"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根据新修订的《中华人民共和国政府信息公开条例》、《国务院办公厅政府信息与政务公开办公室关于政府信息公开工作年度报告有关事项的通知》规定以及区政府办《关于做好2023年政府信息公开工作年度报告编制和发布工作的通知》的工作部署，结合我局工作实际，编制台儿庄区科技局2023年政府信息公开工作年度报告。本报告由总体情况、主动公开政府信息情况、收到和处理政府信息公开申请情况、政府信息公开行政复议、行政诉讼情况、存在的主要问题及改进情况、其他需要报告的事项共六个部分组成。本报告中所列数据的统计时限为2023年1月1日至2023年12月31日。本报告可通过台儿庄区政府门户网站（http：//www.tez.gov.cn/）查阅或下载。如对本报有疑问，请与台儿庄区科技局联系（</w:t>
      </w: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lang w:val="en-US" w:eastAsia="zh-CN"/>
        </w:rPr>
        <w:t>枣庄市台儿庄区兰祺文化交流中心四楼</w:t>
      </w:r>
      <w:r>
        <w:rPr>
          <w:rFonts w:hint="eastAsia" w:ascii="仿宋_GB2312" w:hAnsi="仿宋_GB2312" w:eastAsia="仿宋_GB2312" w:cs="仿宋_GB2312"/>
          <w:sz w:val="32"/>
          <w:szCs w:val="32"/>
          <w:highlight w:val="none"/>
        </w:rPr>
        <w:t>；邮编：277400；联系电话：0632-</w:t>
      </w:r>
      <w:r>
        <w:rPr>
          <w:rFonts w:hint="eastAsia" w:ascii="仿宋_GB2312" w:hAnsi="仿宋_GB2312" w:eastAsia="仿宋_GB2312" w:cs="仿宋_GB2312"/>
          <w:sz w:val="32"/>
          <w:szCs w:val="32"/>
          <w:highlight w:val="none"/>
          <w:lang w:val="en-US" w:eastAsia="zh-CN"/>
        </w:rPr>
        <w:t>6611541</w:t>
      </w:r>
      <w:r>
        <w:rPr>
          <w:rFonts w:hint="eastAsia" w:ascii="仿宋_GB2312" w:hAnsi="仿宋_GB2312" w:eastAsia="仿宋_GB2312" w:cs="仿宋_GB2312"/>
          <w:sz w:val="32"/>
          <w:szCs w:val="32"/>
          <w:highlight w:val="none"/>
        </w:rPr>
        <w:t>；电子邮箱：</w:t>
      </w:r>
      <w:r>
        <w:rPr>
          <w:rFonts w:hint="eastAsia" w:ascii="仿宋_GB2312" w:hAnsi="仿宋_GB2312" w:eastAsia="仿宋_GB2312" w:cs="仿宋_GB2312"/>
          <w:sz w:val="32"/>
          <w:szCs w:val="32"/>
          <w:highlight w:val="none"/>
          <w:lang w:val="en-US" w:eastAsia="zh-CN"/>
        </w:rPr>
        <w:t>tezkjj</w:t>
      </w:r>
      <w:r>
        <w:rPr>
          <w:rFonts w:hint="eastAsia" w:ascii="仿宋_GB2312" w:hAnsi="仿宋_GB2312" w:eastAsia="仿宋_GB2312" w:cs="仿宋_GB2312"/>
          <w:sz w:val="32"/>
          <w:szCs w:val="32"/>
          <w:highlight w:val="none"/>
        </w:rPr>
        <w:t>@zz.shandong.cn）。</w:t>
      </w:r>
    </w:p>
    <w:p>
      <w:pPr>
        <w:pStyle w:val="8"/>
        <w:numPr>
          <w:ilvl w:val="0"/>
          <w:numId w:val="1"/>
        </w:numPr>
        <w:spacing w:line="560" w:lineRule="exact"/>
        <w:ind w:firstLineChars="0"/>
        <w:rPr>
          <w:rFonts w:ascii="黑体" w:hAnsi="黑体" w:eastAsia="黑体" w:cs="仿宋_GB2312"/>
          <w:sz w:val="32"/>
          <w:szCs w:val="32"/>
        </w:rPr>
      </w:pPr>
      <w:r>
        <w:rPr>
          <w:rFonts w:hint="eastAsia" w:ascii="黑体" w:hAnsi="黑体" w:eastAsia="黑体" w:cs="仿宋_GB2312"/>
          <w:sz w:val="32"/>
          <w:szCs w:val="32"/>
        </w:rPr>
        <w:t>总体情况</w:t>
      </w:r>
    </w:p>
    <w:p>
      <w:pPr>
        <w:spacing w:line="560" w:lineRule="exact"/>
        <w:ind w:firstLine="618" w:firstLineChars="200"/>
        <w:rPr>
          <w:rFonts w:hint="eastAsia" w:ascii="黑体" w:hAnsi="黑体" w:eastAsia="黑体" w:cs="仿宋_GB2312"/>
          <w:sz w:val="32"/>
          <w:szCs w:val="32"/>
        </w:rPr>
      </w:pPr>
      <w:r>
        <w:rPr>
          <w:rFonts w:hint="eastAsia" w:ascii="仿宋_GB2312" w:hAnsi="仿宋_GB2312" w:eastAsia="仿宋_GB2312" w:cs="仿宋_GB2312"/>
          <w:sz w:val="32"/>
          <w:szCs w:val="32"/>
        </w:rPr>
        <w:t>2023年</w:t>
      </w:r>
      <w:r>
        <w:rPr>
          <w:rFonts w:ascii="仿宋_GB2312" w:hAnsi="仿宋_GB2312" w:eastAsia="仿宋_GB2312" w:cs="仿宋_GB2312"/>
          <w:sz w:val="32"/>
          <w:szCs w:val="32"/>
        </w:rPr>
        <w:t>，台儿庄区科技局</w:t>
      </w:r>
      <w:r>
        <w:rPr>
          <w:rFonts w:hint="eastAsia" w:ascii="仿宋_GB2312" w:hAnsi="仿宋_GB2312" w:eastAsia="仿宋_GB2312" w:cs="仿宋_GB2312"/>
          <w:sz w:val="32"/>
          <w:szCs w:val="32"/>
        </w:rPr>
        <w:t>认真做好政务信息公开各项工作，着力提升信息公开质量，积极落实信息公开工作任务，增强信息公开实效，及时发布信息、解读回应，不断提高公开信息的准确性，不断推动政府信息公开工作迈上新台阶。</w:t>
      </w:r>
    </w:p>
    <w:p>
      <w:pPr>
        <w:spacing w:line="560" w:lineRule="exact"/>
        <w:ind w:firstLine="61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（一）主动公开情况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2023年，区科技局进一步加强重点领域信息公开，主动及时发布和更新各类信息，及时更新机构概况、班子领导、内设科室等信息，并同步调整信息公开指南相关内容。</w:t>
      </w:r>
    </w:p>
    <w:p>
      <w:pPr>
        <w:spacing w:line="560" w:lineRule="exact"/>
        <w:ind w:firstLine="61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（二）依申请公开情况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共受理政府信息公开申请0件。因政府信息公开被申请行政复议0件，因公民、法人和其他组织认为行政机关政府信息公开工作具体行政行为侵犯其合法权益，提起行政诉讼0件。</w:t>
      </w:r>
    </w:p>
    <w:p>
      <w:pPr>
        <w:spacing w:line="560" w:lineRule="exact"/>
        <w:ind w:firstLine="61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（三）政府信息管理情况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局认真贯彻落实《条例》，统筹推进政府信息公开各项工作。一是依法主动公开信息，局办公室是信息公开工作的主要部门，负责统筹推进、协调监督全局的政府信息公开工作，并确定专人负责政府信息公开工作，负责对政府信息公开保密审查工作进行监督和指导，做好信息发布、网上依申请公开等相关工作。二是健全完善政府信息公开审查机制，建立健全我局相关制度，制定政府信息发布与保密审查管理制度和信息发布协调制度，修订依申请公开工作制度动态更新政府信息公开指南和主动公开基本目录。进一步规范政府信息管理，将政府信息公开工作纳入日常工作。结合我局实际，建立完善政府信息公开责任备案和监督等制度，对公开的政务信息，实行分管领导把关，主要领导签发，制度化、规范化。三是规范公开内容，按照“公开为常态，不公开为例外”的原则依法依规、及时妥善处理政府信息公开申请。</w:t>
      </w:r>
    </w:p>
    <w:p>
      <w:pPr>
        <w:pStyle w:val="4"/>
        <w:shd w:val="clear" w:color="auto" w:fill="FFFFFF"/>
        <w:spacing w:before="0" w:beforeAutospacing="0" w:after="0" w:afterAutospacing="0"/>
        <w:ind w:firstLine="617"/>
        <w:jc w:val="both"/>
        <w:rPr>
          <w:rFonts w:ascii="黑体" w:hAnsi="黑体" w:eastAsia="黑体" w:cs="黑体"/>
          <w:bCs/>
          <w:sz w:val="32"/>
          <w:szCs w:val="32"/>
        </w:rPr>
      </w:pPr>
      <w:r>
        <w:rPr>
          <w:rFonts w:hint="eastAsia" w:ascii="黑体" w:hAnsi="黑体" w:eastAsia="黑体" w:cs="黑体"/>
          <w:bCs/>
          <w:sz w:val="32"/>
          <w:szCs w:val="32"/>
          <w:shd w:val="clear" w:color="auto" w:fill="FFFFFF"/>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bl>
    <w:p>
      <w:pPr>
        <w:spacing w:line="560" w:lineRule="exact"/>
        <w:ind w:firstLine="618" w:firstLineChars="200"/>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52"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pPr>
              <w:widowControl/>
              <w:jc w:val="left"/>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pPr>
              <w:widowControl/>
              <w:jc w:val="left"/>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4672"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ind w:left="-101" w:leftChars="-51"/>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ind w:left="-101" w:leftChars="-51"/>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3"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3"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3"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4672"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bl>
    <w:p>
      <w:pPr>
        <w:spacing w:line="560" w:lineRule="exact"/>
        <w:ind w:firstLine="618" w:firstLineChars="200"/>
        <w:rPr>
          <w:rFonts w:ascii="仿宋_GB2312" w:eastAsia="仿宋_GB2312"/>
          <w:sz w:val="32"/>
          <w:szCs w:val="32"/>
        </w:rPr>
      </w:pPr>
      <w:r>
        <w:rPr>
          <w:rFonts w:hint="eastAsia" w:ascii="黑体" w:hAnsi="黑体" w:eastAsia="黑体" w:cs="黑体"/>
          <w:bCs/>
          <w:kern w:val="0"/>
          <w:sz w:val="32"/>
          <w:szCs w:val="32"/>
          <w:shd w:val="clear" w:color="auto" w:fill="FFFFFF"/>
          <w:lang w:bidi="ar"/>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5" w:rightChars="-63"/>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rPr>
            </w:pPr>
            <w:r>
              <w:rPr>
                <w:rFonts w:ascii="黑体" w:hAnsi="黑体" w:eastAsia="黑体"/>
                <w:kern w:val="0"/>
                <w:sz w:val="20"/>
              </w:rPr>
              <w:t>总</w:t>
            </w:r>
          </w:p>
          <w:p>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7" w:rightChars="-64"/>
              <w:jc w:val="center"/>
              <w:rPr>
                <w:rFonts w:ascii="黑体" w:hAnsi="黑体" w:eastAsia="黑体"/>
                <w:kern w:val="0"/>
                <w:sz w:val="20"/>
              </w:rPr>
            </w:pPr>
            <w:r>
              <w:rPr>
                <w:rFonts w:ascii="黑体" w:hAnsi="黑体" w:eastAsia="黑体"/>
                <w:kern w:val="0"/>
                <w:sz w:val="20"/>
              </w:rPr>
              <w:t>其他</w:t>
            </w:r>
          </w:p>
          <w:p>
            <w:pPr>
              <w:widowControl/>
              <w:ind w:left="-165" w:leftChars="-83" w:right="-127" w:rightChars="-64"/>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5" w:leftChars="-33" w:right="-99" w:rightChars="-50"/>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_GB2312" w:eastAsia="仿宋_GB2312"/>
                <w:szCs w:val="21"/>
              </w:rPr>
              <w:t>0</w:t>
            </w:r>
          </w:p>
        </w:tc>
      </w:tr>
    </w:tbl>
    <w:p>
      <w:pPr>
        <w:pStyle w:val="4"/>
        <w:shd w:val="clear" w:color="auto" w:fill="FFFFFF"/>
        <w:spacing w:before="0" w:beforeAutospacing="0" w:after="0" w:afterAutospacing="0"/>
        <w:ind w:firstLine="617"/>
        <w:jc w:val="both"/>
        <w:rPr>
          <w:rFonts w:ascii="仿宋_GB2312" w:hAnsi="仿宋_GB2312" w:eastAsia="仿宋_GB2312" w:cs="仿宋_GB2312"/>
          <w:sz w:val="32"/>
          <w:szCs w:val="32"/>
        </w:rPr>
      </w:pPr>
      <w:r>
        <w:rPr>
          <w:rFonts w:hint="eastAsia" w:ascii="黑体" w:hAnsi="黑体" w:eastAsia="黑体" w:cs="黑体"/>
          <w:bCs/>
          <w:sz w:val="32"/>
          <w:szCs w:val="32"/>
          <w:shd w:val="clear" w:color="auto" w:fill="FFFFFF"/>
          <w:lang w:bidi="ar"/>
        </w:rPr>
        <w:t>五、存在的主要问题及改进情况</w:t>
      </w:r>
    </w:p>
    <w:p>
      <w:pPr>
        <w:spacing w:line="560" w:lineRule="exact"/>
        <w:ind w:firstLine="61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（一）存在的主要问题</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2023年度，在领导指导帮助及本局信息公开工作人员的努力下，我局政务公开各项工作扎实有序，取得一些成效，但仍存在一些薄弱环节和问题：不足之处：一是主动公开的意识还不够强。二是</w:t>
      </w:r>
      <w:r>
        <w:rPr>
          <w:rFonts w:hint="eastAsia" w:ascii="仿宋_GB2312" w:hAnsi="仿宋_GB2312" w:eastAsia="仿宋_GB2312" w:cs="仿宋_GB2312"/>
          <w:color w:val="000000"/>
          <w:sz w:val="32"/>
          <w:szCs w:val="32"/>
        </w:rPr>
        <w:t>公开范围不够全面</w:t>
      </w:r>
      <w:r>
        <w:rPr>
          <w:rFonts w:hint="eastAsia" w:ascii="仿宋_GB2312" w:hAnsi="仿宋_GB2312" w:eastAsia="仿宋_GB2312" w:cs="仿宋_GB2312"/>
          <w:sz w:val="32"/>
          <w:szCs w:val="32"/>
        </w:rPr>
        <w:t>。</w:t>
      </w:r>
    </w:p>
    <w:p>
      <w:pPr>
        <w:spacing w:line="560" w:lineRule="exact"/>
        <w:ind w:firstLine="61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（二）改进情况及下一步工作打算</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本局将在以下几方面做进一步的加强和改进，使我局的政府信息公开工作质量得到进一步提升：一是加强领导。牢固树立相关部门和工作人员的法治意识和服务意识，完善工作机制，确保信息公开的制度化。二是优化审批办事服务。开展信息自纠自查，重点检查公开的办事服务信息是否准确规范、与实际工作是否一致、是否及时更新等，发现问题应及时督促整改。三是强化监督。以健全的监督机制来完善政府信息公开工作，准确把握信息公开的尺度，确保信息公开的规范化。</w:t>
      </w:r>
    </w:p>
    <w:p>
      <w:pPr>
        <w:pStyle w:val="4"/>
        <w:shd w:val="clear" w:color="auto" w:fill="FFFFFF"/>
        <w:spacing w:before="0" w:beforeAutospacing="0" w:after="0" w:afterAutospacing="0" w:line="560" w:lineRule="exact"/>
        <w:ind w:firstLine="617"/>
        <w:jc w:val="both"/>
        <w:rPr>
          <w:rFonts w:ascii="黑体" w:hAnsi="黑体" w:eastAsia="黑体" w:cs="黑体"/>
          <w:bCs/>
          <w:sz w:val="32"/>
          <w:szCs w:val="32"/>
          <w:shd w:val="clear" w:color="auto" w:fill="FFFFFF"/>
          <w:lang w:bidi="ar"/>
        </w:rPr>
      </w:pPr>
      <w:r>
        <w:rPr>
          <w:rFonts w:hint="eastAsia" w:ascii="黑体" w:hAnsi="黑体" w:eastAsia="黑体" w:cs="黑体"/>
          <w:bCs/>
          <w:sz w:val="32"/>
          <w:szCs w:val="32"/>
          <w:shd w:val="clear" w:color="auto" w:fill="FFFFFF"/>
          <w:lang w:bidi="ar"/>
        </w:rPr>
        <w:t>六、其他需要报告的事项</w:t>
      </w:r>
    </w:p>
    <w:p>
      <w:pPr>
        <w:spacing w:line="560" w:lineRule="exact"/>
        <w:ind w:firstLine="618" w:firstLineChars="200"/>
        <w:rPr>
          <w:rFonts w:ascii="仿宋_GB2312" w:hAnsi="仿宋_GB2312" w:eastAsia="仿宋_GB2312" w:cs="仿宋_GB2312"/>
          <w:sz w:val="32"/>
          <w:szCs w:val="32"/>
        </w:rPr>
      </w:pPr>
      <w:r>
        <w:rPr>
          <w:rFonts w:hint="eastAsia" w:ascii="楷体" w:hAnsi="楷体" w:eastAsia="楷体"/>
          <w:color w:val="000000"/>
          <w:sz w:val="32"/>
          <w:szCs w:val="32"/>
          <w:shd w:val="clear" w:color="auto" w:fill="FFFFFF"/>
        </w:rPr>
        <w:t>一是收取信息处理费情况方面</w:t>
      </w:r>
      <w:r>
        <w:rPr>
          <w:rFonts w:hint="eastAsia" w:ascii="仿宋_GB2312" w:eastAsia="仿宋_GB2312"/>
          <w:color w:val="000000"/>
          <w:sz w:val="32"/>
          <w:szCs w:val="32"/>
          <w:shd w:val="clear" w:color="auto" w:fill="FFFFFF"/>
        </w:rPr>
        <w:t>。</w:t>
      </w:r>
      <w:r>
        <w:rPr>
          <w:rFonts w:hint="eastAsia" w:ascii="仿宋_GB2312" w:hAnsi="仿宋_GB2312" w:eastAsia="仿宋_GB2312" w:cs="仿宋_GB2312"/>
          <w:sz w:val="32"/>
          <w:szCs w:val="32"/>
        </w:rPr>
        <w:t>依据《政府信息公开信息处理费管理办法》，区科技局全年未收取信息公开处理费。</w:t>
      </w:r>
    </w:p>
    <w:p>
      <w:pPr>
        <w:spacing w:line="560" w:lineRule="exact"/>
        <w:ind w:firstLine="618" w:firstLineChars="200"/>
        <w:rPr>
          <w:rFonts w:ascii="仿宋_GB2312" w:hAnsi="仿宋_GB2312" w:eastAsia="仿宋_GB2312" w:cs="仿宋_GB2312"/>
          <w:sz w:val="32"/>
          <w:szCs w:val="32"/>
        </w:rPr>
      </w:pPr>
      <w:r>
        <w:rPr>
          <w:rFonts w:hint="eastAsia" w:ascii="楷体" w:hAnsi="楷体" w:eastAsia="楷体"/>
          <w:color w:val="000000"/>
          <w:sz w:val="32"/>
          <w:szCs w:val="32"/>
          <w:shd w:val="clear" w:color="auto" w:fill="FFFFFF"/>
        </w:rPr>
        <w:t>二是落实上级年度政务公开工作要点情况</w:t>
      </w:r>
      <w:r>
        <w:rPr>
          <w:rFonts w:hint="eastAsia" w:ascii="仿宋_GB2312" w:eastAsia="仿宋_GB2312"/>
          <w:color w:val="000000"/>
          <w:sz w:val="32"/>
          <w:szCs w:val="32"/>
          <w:shd w:val="clear" w:color="auto" w:fill="FFFFFF"/>
        </w:rPr>
        <w:t>。</w:t>
      </w:r>
      <w:r>
        <w:rPr>
          <w:rFonts w:hint="eastAsia" w:ascii="仿宋_GB2312" w:hAnsi="仿宋_GB2312" w:eastAsia="仿宋_GB2312" w:cs="仿宋_GB2312"/>
          <w:sz w:val="32"/>
          <w:szCs w:val="32"/>
        </w:rPr>
        <w:t>区科技局严格按照《台儿庄区人民政府办公室关于印发&lt;2023年台儿庄区政务公开工作要点实施方案&gt;的通知》要求，结合工作实际，对2023年政务公开重点工作任务进行分工，科学制定工作要点，有序推进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仿宋_GB2312" w:eastAsia="仿宋_GB2312"/>
          <w:color w:val="000000"/>
          <w:sz w:val="32"/>
          <w:szCs w:val="32"/>
          <w:highlight w:val="none"/>
          <w:lang w:val="en-US" w:eastAsia="zh-CN"/>
        </w:rPr>
      </w:pPr>
      <w:r>
        <w:rPr>
          <w:rFonts w:hint="eastAsia" w:ascii="楷体" w:hAnsi="楷体" w:eastAsia="楷体"/>
          <w:color w:val="000000"/>
          <w:sz w:val="32"/>
          <w:szCs w:val="32"/>
          <w:shd w:val="clear" w:color="auto" w:fill="FFFFFF"/>
        </w:rPr>
        <w:t>三是人大代表建议和政协提案办理结果公开情况</w:t>
      </w:r>
      <w:r>
        <w:rPr>
          <w:rFonts w:hint="eastAsia" w:ascii="仿宋_GB2312" w:eastAsia="仿宋_GB2312"/>
          <w:color w:val="000000"/>
          <w:sz w:val="32"/>
          <w:szCs w:val="32"/>
          <w:shd w:val="clear" w:color="auto" w:fill="FFFFFF"/>
        </w:rPr>
        <w:t>。</w:t>
      </w:r>
      <w:r>
        <w:rPr>
          <w:rFonts w:hint="eastAsia" w:ascii="仿宋_GB2312" w:hAnsi="Calibri" w:eastAsia="仿宋_GB2312"/>
          <w:color w:val="000000"/>
          <w:sz w:val="32"/>
          <w:szCs w:val="32"/>
          <w:highlight w:val="none"/>
          <w:shd w:val="clear" w:color="auto" w:fill="FFFFFF"/>
        </w:rPr>
        <w:t>202</w:t>
      </w:r>
      <w:r>
        <w:rPr>
          <w:rFonts w:ascii="仿宋_GB2312" w:hAnsi="Calibri" w:eastAsia="仿宋_GB2312"/>
          <w:color w:val="000000"/>
          <w:sz w:val="32"/>
          <w:szCs w:val="32"/>
          <w:highlight w:val="none"/>
          <w:shd w:val="clear" w:color="auto" w:fill="FFFFFF"/>
        </w:rPr>
        <w:t>3</w:t>
      </w:r>
      <w:r>
        <w:rPr>
          <w:rFonts w:hint="eastAsia" w:ascii="仿宋_GB2312" w:eastAsia="仿宋_GB2312"/>
          <w:color w:val="000000"/>
          <w:sz w:val="32"/>
          <w:szCs w:val="32"/>
          <w:highlight w:val="none"/>
        </w:rPr>
        <w:t>年，我局承担交办政协提案共6件，主办2件，协办4件。其中，重点提案3件，主办2件，协办1件。人大代表建议</w:t>
      </w:r>
      <w:r>
        <w:rPr>
          <w:rFonts w:hint="eastAsia" w:ascii="仿宋_GB2312" w:eastAsia="仿宋_GB2312"/>
          <w:color w:val="000000"/>
          <w:sz w:val="32"/>
          <w:szCs w:val="32"/>
          <w:highlight w:val="none"/>
          <w:lang w:val="en-US" w:eastAsia="zh-CN"/>
        </w:rPr>
        <w:t>主办1件</w:t>
      </w:r>
      <w:r>
        <w:rPr>
          <w:rFonts w:hint="eastAsia" w:ascii="仿宋_GB2312" w:eastAsia="仿宋_GB2312"/>
          <w:color w:val="000000"/>
          <w:sz w:val="32"/>
          <w:szCs w:val="32"/>
          <w:highlight w:val="none"/>
        </w:rPr>
        <w:t>。2023年区科技局共承办政协提案5件，均在规定的答复时限内答复完毕，并在区政府网站建议提案办理专栏进行公开。</w:t>
      </w:r>
      <w:r>
        <w:rPr>
          <w:rFonts w:hint="eastAsia" w:ascii="仿宋_GB2312" w:eastAsia="仿宋_GB2312"/>
          <w:color w:val="000000"/>
          <w:sz w:val="32"/>
          <w:szCs w:val="32"/>
          <w:highlight w:val="none"/>
          <w:lang w:val="en-US" w:eastAsia="zh-CN"/>
        </w:rPr>
        <w:t xml:space="preserve">   </w:t>
      </w:r>
      <w:bookmarkStart w:id="10" w:name="_GoBack"/>
      <w:bookmarkEnd w:id="10"/>
      <w:r>
        <w:rPr>
          <w:rFonts w:hint="eastAsia" w:ascii="仿宋_GB2312" w:eastAsia="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ascii="仿宋_GB2312" w:hAnsi="Calibri" w:eastAsia="仿宋_GB2312"/>
          <w:color w:val="000000"/>
          <w:sz w:val="32"/>
          <w:szCs w:val="32"/>
        </w:rPr>
      </w:pPr>
      <w:r>
        <w:rPr>
          <w:rFonts w:hint="eastAsia" w:ascii="楷体" w:hAnsi="楷体" w:eastAsia="楷体"/>
          <w:color w:val="000000"/>
          <w:sz w:val="32"/>
          <w:szCs w:val="32"/>
          <w:shd w:val="clear" w:color="auto" w:fill="FFFFFF"/>
        </w:rPr>
        <w:t>四是政务公开工作创新情况：</w:t>
      </w:r>
      <w:r>
        <w:rPr>
          <w:rFonts w:hint="eastAsia" w:ascii="仿宋_GB2312" w:hAnsi="楷体" w:eastAsia="仿宋_GB2312"/>
          <w:color w:val="000000"/>
          <w:sz w:val="32"/>
          <w:szCs w:val="32"/>
          <w:shd w:val="clear" w:color="auto" w:fill="FFFFFF"/>
        </w:rPr>
        <w:t>无</w:t>
      </w:r>
      <w:r>
        <w:rPr>
          <w:rFonts w:hint="eastAsia" w:ascii="仿宋_GB2312" w:eastAsia="仿宋_GB2312"/>
          <w:color w:val="000000"/>
          <w:sz w:val="32"/>
          <w:szCs w:val="32"/>
        </w:rPr>
        <w:t>。</w:t>
      </w:r>
    </w:p>
    <w:p>
      <w:pPr>
        <w:spacing w:line="560" w:lineRule="exact"/>
        <w:ind w:firstLine="618" w:firstLineChars="200"/>
        <w:rPr>
          <w:rFonts w:ascii="仿宋_GB2312" w:hAnsi="Calibri" w:eastAsia="仿宋_GB2312"/>
          <w:color w:val="000000"/>
          <w:sz w:val="32"/>
          <w:szCs w:val="32"/>
        </w:rPr>
      </w:pPr>
      <w:r>
        <w:rPr>
          <w:rFonts w:hint="eastAsia" w:ascii="楷体" w:hAnsi="楷体" w:eastAsia="楷体"/>
          <w:color w:val="000000"/>
          <w:sz w:val="32"/>
          <w:szCs w:val="32"/>
          <w:shd w:val="clear" w:color="auto" w:fill="FFFFFF"/>
        </w:rPr>
        <w:t>五是本行政机关政府信息公开工作年度报告数据统计需要说明的事项</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rPr>
        <w:t>报告中所列数据的统计期限自</w:t>
      </w:r>
      <w:r>
        <w:rPr>
          <w:rFonts w:hint="eastAsia" w:ascii="仿宋_GB2312" w:hAnsi="Calibri" w:eastAsia="仿宋_GB2312"/>
          <w:color w:val="000000"/>
          <w:sz w:val="32"/>
          <w:szCs w:val="32"/>
        </w:rPr>
        <w:t>202</w:t>
      </w:r>
      <w:r>
        <w:rPr>
          <w:rFonts w:ascii="仿宋_GB2312" w:hAnsi="Calibri" w:eastAsia="仿宋_GB2312"/>
          <w:color w:val="000000"/>
          <w:sz w:val="32"/>
          <w:szCs w:val="32"/>
        </w:rPr>
        <w:t>3</w:t>
      </w:r>
      <w:r>
        <w:rPr>
          <w:rFonts w:hint="eastAsia" w:ascii="仿宋_GB2312" w:eastAsia="仿宋_GB2312"/>
          <w:color w:val="000000"/>
          <w:sz w:val="32"/>
          <w:szCs w:val="32"/>
        </w:rPr>
        <w:t>年</w:t>
      </w:r>
      <w:r>
        <w:rPr>
          <w:rFonts w:hint="eastAsia" w:ascii="仿宋_GB2312" w:hAnsi="Calibri" w:eastAsia="仿宋_GB2312"/>
          <w:color w:val="000000"/>
          <w:sz w:val="32"/>
          <w:szCs w:val="32"/>
        </w:rPr>
        <w:t>1</w:t>
      </w:r>
      <w:r>
        <w:rPr>
          <w:rFonts w:hint="eastAsia" w:ascii="仿宋_GB2312" w:eastAsia="仿宋_GB2312"/>
          <w:color w:val="000000"/>
          <w:sz w:val="32"/>
          <w:szCs w:val="32"/>
        </w:rPr>
        <w:t>月</w:t>
      </w:r>
      <w:r>
        <w:rPr>
          <w:rFonts w:hint="eastAsia" w:ascii="仿宋_GB2312" w:hAnsi="Calibri" w:eastAsia="仿宋_GB2312"/>
          <w:color w:val="000000"/>
          <w:sz w:val="32"/>
          <w:szCs w:val="32"/>
        </w:rPr>
        <w:t>1</w:t>
      </w:r>
      <w:r>
        <w:rPr>
          <w:rFonts w:hint="eastAsia" w:ascii="仿宋_GB2312" w:eastAsia="仿宋_GB2312"/>
          <w:color w:val="000000"/>
          <w:sz w:val="32"/>
          <w:szCs w:val="32"/>
        </w:rPr>
        <w:t>日起至</w:t>
      </w:r>
      <w:r>
        <w:rPr>
          <w:rFonts w:hint="eastAsia" w:ascii="仿宋_GB2312" w:hAnsi="Calibri" w:eastAsia="仿宋_GB2312"/>
          <w:color w:val="000000"/>
          <w:sz w:val="32"/>
          <w:szCs w:val="32"/>
        </w:rPr>
        <w:t>202</w:t>
      </w:r>
      <w:r>
        <w:rPr>
          <w:rFonts w:ascii="仿宋_GB2312" w:hAnsi="Calibri" w:eastAsia="仿宋_GB2312"/>
          <w:color w:val="000000"/>
          <w:sz w:val="32"/>
          <w:szCs w:val="32"/>
        </w:rPr>
        <w:t>3</w:t>
      </w:r>
      <w:r>
        <w:rPr>
          <w:rFonts w:hint="eastAsia" w:ascii="仿宋_GB2312" w:eastAsia="仿宋_GB2312"/>
          <w:color w:val="000000"/>
          <w:sz w:val="32"/>
          <w:szCs w:val="32"/>
        </w:rPr>
        <w:t>年</w:t>
      </w:r>
      <w:r>
        <w:rPr>
          <w:rFonts w:hint="eastAsia" w:ascii="仿宋_GB2312" w:hAnsi="Calibri" w:eastAsia="仿宋_GB2312"/>
          <w:color w:val="000000"/>
          <w:sz w:val="32"/>
          <w:szCs w:val="32"/>
        </w:rPr>
        <w:t>12</w:t>
      </w:r>
      <w:r>
        <w:rPr>
          <w:rFonts w:hint="eastAsia" w:ascii="仿宋_GB2312" w:eastAsia="仿宋_GB2312"/>
          <w:color w:val="000000"/>
          <w:sz w:val="32"/>
          <w:szCs w:val="32"/>
        </w:rPr>
        <w:t>月</w:t>
      </w:r>
      <w:r>
        <w:rPr>
          <w:rFonts w:hint="eastAsia" w:ascii="仿宋_GB2312" w:hAnsi="Calibri" w:eastAsia="仿宋_GB2312"/>
          <w:color w:val="000000"/>
          <w:sz w:val="32"/>
          <w:szCs w:val="32"/>
        </w:rPr>
        <w:t>31</w:t>
      </w:r>
      <w:r>
        <w:rPr>
          <w:rFonts w:hint="eastAsia" w:ascii="仿宋_GB2312" w:eastAsia="仿宋_GB2312"/>
          <w:color w:val="000000"/>
          <w:sz w:val="32"/>
          <w:szCs w:val="32"/>
        </w:rPr>
        <w:t>日止。</w:t>
      </w:r>
    </w:p>
    <w:p>
      <w:pPr>
        <w:spacing w:line="560" w:lineRule="exact"/>
        <w:ind w:firstLine="618" w:firstLineChars="200"/>
        <w:rPr>
          <w:rFonts w:ascii="仿宋_GB2312" w:hAnsi="Calibri" w:eastAsia="仿宋_GB2312"/>
          <w:color w:val="000000"/>
          <w:sz w:val="32"/>
          <w:szCs w:val="32"/>
          <w:shd w:val="clear" w:color="auto" w:fill="FFFFFF"/>
        </w:rPr>
      </w:pPr>
      <w:r>
        <w:rPr>
          <w:rFonts w:hint="eastAsia" w:ascii="楷体" w:hAnsi="楷体" w:eastAsia="楷体"/>
          <w:color w:val="000000"/>
          <w:sz w:val="32"/>
          <w:szCs w:val="32"/>
          <w:shd w:val="clear" w:color="auto" w:fill="FFFFFF"/>
        </w:rPr>
        <w:t>六是本行政机关认为需要报告的其他事项</w:t>
      </w:r>
      <w:r>
        <w:rPr>
          <w:rFonts w:hint="eastAsia" w:ascii="仿宋_GB2312" w:eastAsia="仿宋_GB2312"/>
          <w:color w:val="000000"/>
          <w:sz w:val="32"/>
          <w:szCs w:val="32"/>
          <w:shd w:val="clear" w:color="auto" w:fill="FFFFFF"/>
        </w:rPr>
        <w:t>：无。</w:t>
      </w:r>
    </w:p>
    <w:p>
      <w:pPr>
        <w:spacing w:line="560" w:lineRule="exact"/>
        <w:ind w:firstLine="618" w:firstLineChars="200"/>
        <w:rPr>
          <w:rFonts w:ascii="仿宋_GB2312" w:eastAsia="仿宋_GB2312"/>
          <w:color w:val="000000"/>
          <w:sz w:val="32"/>
          <w:szCs w:val="32"/>
          <w:shd w:val="clear" w:color="auto" w:fill="FFFFFF"/>
        </w:rPr>
      </w:pPr>
      <w:r>
        <w:rPr>
          <w:rFonts w:hint="eastAsia" w:ascii="楷体" w:hAnsi="楷体" w:eastAsia="楷体"/>
          <w:color w:val="000000"/>
          <w:sz w:val="32"/>
          <w:szCs w:val="32"/>
          <w:shd w:val="clear" w:color="auto" w:fill="FFFFFF"/>
        </w:rPr>
        <w:t>七是其他有关文件专门要求通过政府信息公开工作年度报告予以报告的事项</w:t>
      </w:r>
      <w:r>
        <w:rPr>
          <w:rFonts w:hint="eastAsia" w:ascii="仿宋_GB2312" w:eastAsia="仿宋_GB2312"/>
          <w:color w:val="000000"/>
          <w:sz w:val="32"/>
          <w:szCs w:val="32"/>
          <w:shd w:val="clear" w:color="auto" w:fill="FFFFFF"/>
        </w:rPr>
        <w:t>：无。</w:t>
      </w:r>
    </w:p>
    <w:p>
      <w:pPr>
        <w:spacing w:line="560" w:lineRule="exact"/>
        <w:ind w:firstLine="618" w:firstLineChars="200"/>
        <w:rPr>
          <w:rFonts w:ascii="仿宋_GB2312" w:hAnsi="仿宋_GB2312" w:eastAsia="仿宋_GB2312" w:cs="仿宋_GB2312"/>
          <w:sz w:val="32"/>
          <w:szCs w:val="32"/>
        </w:rPr>
      </w:pPr>
    </w:p>
    <w:p>
      <w:pPr>
        <w:spacing w:line="560" w:lineRule="exact"/>
        <w:ind w:firstLine="618" w:firstLineChars="200"/>
        <w:rPr>
          <w:rFonts w:ascii="仿宋_GB2312" w:hAnsi="仿宋_GB2312" w:eastAsia="仿宋_GB2312" w:cs="仿宋_GB2312"/>
          <w:sz w:val="32"/>
          <w:szCs w:val="32"/>
        </w:rPr>
      </w:pPr>
    </w:p>
    <w:p>
      <w:pPr>
        <w:spacing w:line="560" w:lineRule="exact"/>
        <w:ind w:firstLine="618" w:firstLineChars="200"/>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台儿庄区科技局</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2024年1月17日</w:t>
      </w:r>
    </w:p>
    <w:sectPr>
      <w:footerReference r:id="rId3" w:type="default"/>
      <w:footerReference r:id="rId4" w:type="even"/>
      <w:pgSz w:w="11906" w:h="16838"/>
      <w:pgMar w:top="1985" w:right="1588" w:bottom="1701"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Ã¥Â¾Â®Ã¨Â½Â¯Ã©â€ºâ€¦Ã©Â»â€˜">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560"/>
      <w:rPr>
        <w:rStyle w:val="7"/>
        <w:rFonts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１</w:t>
    </w:r>
    <w:r>
      <w:rPr>
        <w:rStyle w:val="7"/>
        <w:rFonts w:ascii="宋体" w:hAnsi="宋体"/>
        <w:sz w:val="28"/>
        <w:szCs w:val="28"/>
      </w:rPr>
      <w:fldChar w:fldCharType="end"/>
    </w:r>
    <w:r>
      <w:rPr>
        <w:rStyle w:val="7"/>
        <w:rFonts w:hint="eastAsia" w:ascii="宋体" w:hAnsi="宋体"/>
        <w:sz w:val="28"/>
        <w:szCs w:val="28"/>
      </w:rPr>
      <w:t>—</w:t>
    </w: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560"/>
      <w:rPr>
        <w:rStyle w:val="7"/>
        <w:rFonts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２０</w:t>
    </w:r>
    <w:r>
      <w:rPr>
        <w:rStyle w:val="7"/>
        <w:rFonts w:ascii="宋体" w:hAnsi="宋体"/>
        <w:sz w:val="28"/>
        <w:szCs w:val="28"/>
      </w:rPr>
      <w:fldChar w:fldCharType="end"/>
    </w:r>
    <w:r>
      <w:rPr>
        <w:rStyle w:val="7"/>
        <w:rFonts w:hint="eastAsia" w:ascii="宋体" w:hAnsi="宋体"/>
        <w:sz w:val="28"/>
        <w:szCs w:val="28"/>
      </w:rPr>
      <w:t>—</w:t>
    </w:r>
  </w:p>
  <w:p>
    <w:pPr>
      <w:pStyle w:val="2"/>
      <w:ind w:right="360" w:firstLine="360"/>
      <w:jc w:val="center"/>
    </w:pPr>
  </w:p>
  <w:p>
    <w:pPr>
      <w:ind w:firstLine="420"/>
    </w:pPr>
  </w:p>
  <w:p>
    <w:pPr>
      <w:ind w:firstLine="420"/>
    </w:pPr>
  </w:p>
  <w:p>
    <w:pPr>
      <w:ind w:firstLine="420"/>
    </w:pPr>
  </w:p>
  <w:p>
    <w:pPr>
      <w:ind w:firstLine="420"/>
    </w:pPr>
  </w:p>
  <w:p>
    <w:pPr>
      <w:ind w:firstLine="4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10BE5"/>
    <w:multiLevelType w:val="multilevel"/>
    <w:tmpl w:val="1D310BE5"/>
    <w:lvl w:ilvl="0" w:tentative="0">
      <w:start w:val="1"/>
      <w:numFmt w:val="japaneseCounting"/>
      <w:lvlText w:val="%1、"/>
      <w:lvlJc w:val="left"/>
      <w:pPr>
        <w:ind w:left="1337" w:hanging="720"/>
      </w:pPr>
      <w:rPr>
        <w:rFonts w:hint="default"/>
      </w:rPr>
    </w:lvl>
    <w:lvl w:ilvl="1" w:tentative="0">
      <w:start w:val="1"/>
      <w:numFmt w:val="lowerLetter"/>
      <w:lvlText w:val="%2)"/>
      <w:lvlJc w:val="left"/>
      <w:pPr>
        <w:ind w:left="1457" w:hanging="420"/>
      </w:pPr>
    </w:lvl>
    <w:lvl w:ilvl="2" w:tentative="0">
      <w:start w:val="1"/>
      <w:numFmt w:val="lowerRoman"/>
      <w:lvlText w:val="%3."/>
      <w:lvlJc w:val="right"/>
      <w:pPr>
        <w:ind w:left="1877" w:hanging="420"/>
      </w:pPr>
    </w:lvl>
    <w:lvl w:ilvl="3" w:tentative="0">
      <w:start w:val="1"/>
      <w:numFmt w:val="decimal"/>
      <w:lvlText w:val="%4."/>
      <w:lvlJc w:val="left"/>
      <w:pPr>
        <w:ind w:left="2297" w:hanging="420"/>
      </w:pPr>
    </w:lvl>
    <w:lvl w:ilvl="4" w:tentative="0">
      <w:start w:val="1"/>
      <w:numFmt w:val="lowerLetter"/>
      <w:lvlText w:val="%5)"/>
      <w:lvlJc w:val="left"/>
      <w:pPr>
        <w:ind w:left="2717" w:hanging="420"/>
      </w:pPr>
    </w:lvl>
    <w:lvl w:ilvl="5" w:tentative="0">
      <w:start w:val="1"/>
      <w:numFmt w:val="lowerRoman"/>
      <w:lvlText w:val="%6."/>
      <w:lvlJc w:val="right"/>
      <w:pPr>
        <w:ind w:left="3137" w:hanging="420"/>
      </w:pPr>
    </w:lvl>
    <w:lvl w:ilvl="6" w:tentative="0">
      <w:start w:val="1"/>
      <w:numFmt w:val="decimal"/>
      <w:lvlText w:val="%7."/>
      <w:lvlJc w:val="left"/>
      <w:pPr>
        <w:ind w:left="3557" w:hanging="420"/>
      </w:pPr>
    </w:lvl>
    <w:lvl w:ilvl="7" w:tentative="0">
      <w:start w:val="1"/>
      <w:numFmt w:val="lowerLetter"/>
      <w:lvlText w:val="%8)"/>
      <w:lvlJc w:val="left"/>
      <w:pPr>
        <w:ind w:left="3977" w:hanging="420"/>
      </w:pPr>
    </w:lvl>
    <w:lvl w:ilvl="8" w:tentative="0">
      <w:start w:val="1"/>
      <w:numFmt w:val="lowerRoman"/>
      <w:lvlText w:val="%9."/>
      <w:lvlJc w:val="right"/>
      <w:pPr>
        <w:ind w:left="43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DUxODRjYzUwMWVjMzg1NTkyOTdhN2E3YTE2NzgifQ=="/>
  </w:docVars>
  <w:rsids>
    <w:rsidRoot w:val="00DD2466"/>
    <w:rsid w:val="008058DA"/>
    <w:rsid w:val="00BF3C91"/>
    <w:rsid w:val="00CF20D7"/>
    <w:rsid w:val="00DD2466"/>
    <w:rsid w:val="00F16C64"/>
    <w:rsid w:val="012C2953"/>
    <w:rsid w:val="01FB3691"/>
    <w:rsid w:val="025C7268"/>
    <w:rsid w:val="032D72C5"/>
    <w:rsid w:val="04A171B4"/>
    <w:rsid w:val="05241B93"/>
    <w:rsid w:val="058F34B0"/>
    <w:rsid w:val="06112117"/>
    <w:rsid w:val="06FA2BAB"/>
    <w:rsid w:val="0A530095"/>
    <w:rsid w:val="0D7A2C98"/>
    <w:rsid w:val="0E1A1A53"/>
    <w:rsid w:val="102A4C15"/>
    <w:rsid w:val="10815624"/>
    <w:rsid w:val="10AD5132"/>
    <w:rsid w:val="110805BA"/>
    <w:rsid w:val="11B524F0"/>
    <w:rsid w:val="12BC78AF"/>
    <w:rsid w:val="12E50BB3"/>
    <w:rsid w:val="13182D37"/>
    <w:rsid w:val="15E52C78"/>
    <w:rsid w:val="165D6CB3"/>
    <w:rsid w:val="182014A2"/>
    <w:rsid w:val="182757CA"/>
    <w:rsid w:val="1A604FC3"/>
    <w:rsid w:val="1CBF4223"/>
    <w:rsid w:val="1E5866DD"/>
    <w:rsid w:val="21132D32"/>
    <w:rsid w:val="26BB3CAD"/>
    <w:rsid w:val="273E668C"/>
    <w:rsid w:val="28245882"/>
    <w:rsid w:val="28973200"/>
    <w:rsid w:val="289A5B44"/>
    <w:rsid w:val="2A30249C"/>
    <w:rsid w:val="2ABC7FF4"/>
    <w:rsid w:val="2B74267D"/>
    <w:rsid w:val="2B8A00F2"/>
    <w:rsid w:val="2BAA42F0"/>
    <w:rsid w:val="2C6D364F"/>
    <w:rsid w:val="2C956D4E"/>
    <w:rsid w:val="2F0518B0"/>
    <w:rsid w:val="31E56082"/>
    <w:rsid w:val="31FE0EF2"/>
    <w:rsid w:val="326B6A35"/>
    <w:rsid w:val="34EE34A0"/>
    <w:rsid w:val="37E00173"/>
    <w:rsid w:val="3C5B366D"/>
    <w:rsid w:val="3C7F70D3"/>
    <w:rsid w:val="3D412223"/>
    <w:rsid w:val="3D6C58AA"/>
    <w:rsid w:val="3E3C527C"/>
    <w:rsid w:val="3E974BA8"/>
    <w:rsid w:val="3F253F62"/>
    <w:rsid w:val="40C81049"/>
    <w:rsid w:val="418036D2"/>
    <w:rsid w:val="42A47894"/>
    <w:rsid w:val="4404683C"/>
    <w:rsid w:val="46761547"/>
    <w:rsid w:val="48334182"/>
    <w:rsid w:val="4B313C8F"/>
    <w:rsid w:val="4D265A75"/>
    <w:rsid w:val="4E4A12EF"/>
    <w:rsid w:val="4EB578C5"/>
    <w:rsid w:val="4FAE3B00"/>
    <w:rsid w:val="4FFD15ED"/>
    <w:rsid w:val="5055041F"/>
    <w:rsid w:val="514C35D0"/>
    <w:rsid w:val="516C5A20"/>
    <w:rsid w:val="53A2397B"/>
    <w:rsid w:val="541C372E"/>
    <w:rsid w:val="557D01FC"/>
    <w:rsid w:val="570B22DC"/>
    <w:rsid w:val="58810003"/>
    <w:rsid w:val="5A8B6F17"/>
    <w:rsid w:val="5B9F77DD"/>
    <w:rsid w:val="5C5F1E19"/>
    <w:rsid w:val="5D425C8F"/>
    <w:rsid w:val="5EEE216B"/>
    <w:rsid w:val="5F1F2324"/>
    <w:rsid w:val="5F334021"/>
    <w:rsid w:val="5FC105F2"/>
    <w:rsid w:val="603242D9"/>
    <w:rsid w:val="613A1697"/>
    <w:rsid w:val="62165C60"/>
    <w:rsid w:val="62C14092"/>
    <w:rsid w:val="63A86D8C"/>
    <w:rsid w:val="63B76FCF"/>
    <w:rsid w:val="652C12F7"/>
    <w:rsid w:val="6840167B"/>
    <w:rsid w:val="6853303E"/>
    <w:rsid w:val="68B46056"/>
    <w:rsid w:val="6B040620"/>
    <w:rsid w:val="6B5C1414"/>
    <w:rsid w:val="6C440EAF"/>
    <w:rsid w:val="6C944351"/>
    <w:rsid w:val="6DCB15B1"/>
    <w:rsid w:val="6E296D1B"/>
    <w:rsid w:val="6E3A4A84"/>
    <w:rsid w:val="6FF60E7F"/>
    <w:rsid w:val="710C022E"/>
    <w:rsid w:val="716D33C3"/>
    <w:rsid w:val="71C1726B"/>
    <w:rsid w:val="74177616"/>
    <w:rsid w:val="747B14CF"/>
    <w:rsid w:val="75CE1F56"/>
    <w:rsid w:val="7677439C"/>
    <w:rsid w:val="775A7F45"/>
    <w:rsid w:val="779C6545"/>
    <w:rsid w:val="7CB4163C"/>
    <w:rsid w:val="7F90551A"/>
    <w:rsid w:val="7FBF303C"/>
    <w:rsid w:val="7FEC7BA9"/>
    <w:rsid w:val="7FFA4074"/>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7">
    <w:name w:val="page number"/>
    <w:basedOn w:val="6"/>
    <w:autoRedefine/>
    <w:qFormat/>
    <w:uiPriority w:val="0"/>
  </w:style>
  <w:style w:type="paragraph" w:styleId="8">
    <w:name w:val="List Paragraph"/>
    <w:basedOn w:val="1"/>
    <w:autoRedefine/>
    <w:qFormat/>
    <w:uiPriority w:val="99"/>
    <w:pPr>
      <w:ind w:firstLine="420" w:firstLineChars="200"/>
    </w:pPr>
  </w:style>
  <w:style w:type="character" w:customStyle="1" w:styleId="9">
    <w:name w:val="页眉 字符"/>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472</Words>
  <Characters>2692</Characters>
  <Lines>22</Lines>
  <Paragraphs>6</Paragraphs>
  <TotalTime>59</TotalTime>
  <ScaleCrop>false</ScaleCrop>
  <LinksUpToDate>false</LinksUpToDate>
  <CharactersWithSpaces>3158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2024-01-25T02:12:00Z</dcterms:created>
  <dc:creator>86135</dc:creator>
  <cp:lastModifiedBy>新奇的小动物</cp:lastModifiedBy>
  <dcterms:modified xsi:type="dcterms:W3CDTF">2024-02-21T02:53:42Z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F409E908CBE747B18BF35ABE12BE740F_13</vt:lpwstr>
  </property>
</Properties>
</file>