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枣庄市台儿庄区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  <w:t>司法局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  <w:t>2023年政府信息公开工作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年度报告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457"/>
        <w:jc w:val="both"/>
        <w:rPr>
          <w:rFonts w:hint="eastAsia" w:ascii="仿宋_GB2312" w:eastAsia="仿宋_GB2312" w:cs="宋体"/>
          <w:color w:val="333333"/>
          <w:szCs w:val="24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17"/>
        <w:rPr>
          <w:rFonts w:hint="eastAsia" w:ascii="仿宋_GB2312" w:hAnsi="黑体" w:eastAsia="仿宋_GB2312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bCs/>
          <w:color w:val="333333"/>
          <w:sz w:val="32"/>
          <w:szCs w:val="32"/>
          <w:shd w:val="clear" w:color="auto" w:fill="FFFFFF"/>
        </w:rPr>
        <w:t>根据《中华人民共和国政府信息公开条例》（国务院令第711号）相关规定及《台儿庄区人民政府办公室关于做好2023年政府信息公开工作年度报告编制和发布工作的通知》要求，现向社会公布台儿庄区司法局2023年度政府信息公开报告。本报告由总体情况、主动公开政府信息情况、收到和处理政府信息公开申请情况、政府信息公开行政复议、行政诉讼</w:t>
      </w:r>
      <w:r>
        <w:rPr>
          <w:rFonts w:hint="eastAsia" w:ascii="仿宋_GB2312" w:hAnsi="黑体" w:eastAsia="仿宋_GB2312" w:cs="黑体"/>
          <w:bCs/>
          <w:color w:val="333333"/>
          <w:sz w:val="32"/>
          <w:szCs w:val="32"/>
          <w:highlight w:val="none"/>
          <w:shd w:val="clear" w:color="auto" w:fill="FFFFFF"/>
        </w:rPr>
        <w:t>情况、存在的主要问题及改进情况、其他需要报告的事项共六个部分组成。本报告中所列数据的统计时限为2023年1月1日至2023年12月31日。本报告可通过台儿庄区政府门户网站（http://www.tez.gov.cn/）查阅或下载。如对本报有疑问，请与台儿庄区司法局办</w:t>
      </w:r>
      <w:r>
        <w:rPr>
          <w:rFonts w:hint="eastAsia" w:ascii="仿宋_GB2312" w:hAnsi="黑体" w:eastAsia="仿宋_GB2312" w:cs="黑体"/>
          <w:bCs/>
          <w:color w:val="333333"/>
          <w:sz w:val="32"/>
          <w:szCs w:val="32"/>
          <w:shd w:val="clear" w:color="auto" w:fill="FFFFFF"/>
        </w:rPr>
        <w:t>公室联系（地址：</w:t>
      </w:r>
      <w:r>
        <w:rPr>
          <w:rFonts w:hint="eastAsia" w:ascii="仿宋_GB2312" w:hAnsi="黑体" w:eastAsia="仿宋_GB2312" w:cs="黑体"/>
          <w:bCs/>
          <w:color w:val="333333"/>
          <w:sz w:val="32"/>
          <w:szCs w:val="32"/>
          <w:shd w:val="clear" w:color="auto" w:fill="FFFFFF"/>
          <w:lang w:val="en-US" w:eastAsia="zh-CN"/>
        </w:rPr>
        <w:t>台儿庄区华兴路1255号</w:t>
      </w:r>
      <w:r>
        <w:rPr>
          <w:rFonts w:hint="eastAsia" w:ascii="仿宋_GB2312" w:hAnsi="黑体" w:eastAsia="仿宋_GB2312" w:cs="黑体"/>
          <w:bCs/>
          <w:color w:val="333333"/>
          <w:sz w:val="32"/>
          <w:szCs w:val="32"/>
          <w:shd w:val="clear" w:color="auto" w:fill="FFFFFF"/>
        </w:rPr>
        <w:t>；邮编：277400；联系电话：0632-</w:t>
      </w:r>
      <w:r>
        <w:rPr>
          <w:rFonts w:hint="eastAsia" w:ascii="仿宋_GB2312" w:hAnsi="黑体" w:eastAsia="仿宋_GB2312" w:cs="黑体"/>
          <w:bCs/>
          <w:color w:val="333333"/>
          <w:sz w:val="32"/>
          <w:szCs w:val="32"/>
          <w:shd w:val="clear" w:color="auto" w:fill="FFFFFF"/>
          <w:lang w:val="en-US" w:eastAsia="zh-CN"/>
        </w:rPr>
        <w:t>6611148</w:t>
      </w:r>
      <w:r>
        <w:rPr>
          <w:rFonts w:hint="eastAsia" w:ascii="仿宋_GB2312" w:hAnsi="黑体" w:eastAsia="仿宋_GB2312" w:cs="黑体"/>
          <w:bCs/>
          <w:color w:val="333333"/>
          <w:sz w:val="32"/>
          <w:szCs w:val="32"/>
          <w:shd w:val="clear" w:color="auto" w:fill="FFFFFF"/>
        </w:rPr>
        <w:t>；电子邮箱：</w:t>
      </w:r>
      <w:r>
        <w:rPr>
          <w:rFonts w:hint="eastAsia" w:ascii="仿宋_GB2312" w:hAnsi="黑体" w:eastAsia="仿宋_GB2312" w:cs="黑体"/>
          <w:bCs/>
          <w:color w:val="333333"/>
          <w:sz w:val="32"/>
          <w:szCs w:val="32"/>
          <w:shd w:val="clear" w:color="auto" w:fill="FFFFFF"/>
          <w:lang w:val="en-US" w:eastAsia="zh-CN"/>
        </w:rPr>
        <w:t>tezqsfj@zz.shandong.cn</w:t>
      </w:r>
      <w:r>
        <w:rPr>
          <w:rFonts w:hint="eastAsia" w:ascii="仿宋_GB2312" w:hAnsi="黑体" w:eastAsia="仿宋_GB2312" w:cs="黑体"/>
          <w:bCs/>
          <w:color w:val="333333"/>
          <w:sz w:val="32"/>
          <w:szCs w:val="32"/>
          <w:shd w:val="clear" w:color="auto" w:fill="FFFFFF"/>
        </w:rPr>
        <w:t>）。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17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spacing w:line="560" w:lineRule="exact"/>
        <w:ind w:firstLine="61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2023年，台儿庄区司法局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坚持以习近平新时代中国特色社会主义思想为指导，认真贯彻落实《中华人民共和国政府信息公开条例》，拓</w:t>
      </w:r>
      <w:r>
        <w:rPr>
          <w:rFonts w:hint="eastAsia" w:ascii="仿宋_GB2312" w:hAnsi="仿宋_GB2312" w:eastAsia="仿宋_GB2312" w:cs="仿宋_GB2312"/>
          <w:sz w:val="32"/>
          <w:szCs w:val="32"/>
        </w:rPr>
        <w:t>展公开形式、回应社会关切，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规范有序推动政府信息公开工作，不断增强人民群众法治获得感。</w:t>
      </w:r>
    </w:p>
    <w:p>
      <w:pPr>
        <w:spacing w:line="560" w:lineRule="exact"/>
        <w:ind w:firstLine="618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（一）主动公开方面。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坚持以公开为常态、不公开为例外，遵循公正、公平、合法、便民的原则，认真做好政务信息公开工作。2023年依托台儿庄区政府门户网站发布各类信息77条，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通过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“台儿庄司法”微信公众号、“台儿庄普法”今日头条号等新媒体账号发布信息311条。</w:t>
      </w:r>
    </w:p>
    <w:p>
      <w:pPr>
        <w:spacing w:line="560" w:lineRule="exact"/>
        <w:ind w:firstLine="618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（二）依申请公开工作方面。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2023年收到政府信息公开申请0件，与2022年相比无变化。</w:t>
      </w:r>
    </w:p>
    <w:p>
      <w:pPr>
        <w:spacing w:line="560" w:lineRule="exact"/>
        <w:ind w:firstLine="618" w:firstLineChars="200"/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（三）政府信息管理方面。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严格贯彻落实《中华人民共和国政府信息公开条例》，完善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《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台儿庄区司法局政府信息公开责任分解表》，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严格执行政务公开保密审查制度，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坚持分级分类、先审后发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，有效做到全局信息依法、依规、及时公开。</w:t>
      </w:r>
    </w:p>
    <w:p>
      <w:pPr>
        <w:spacing w:line="560" w:lineRule="exact"/>
        <w:ind w:firstLine="618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（四）平台建设方面。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认真落实政府网站集约化建设要求，依托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台儿庄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区政府门户网站，实时更新法定主动公开内容。结合受众阅读习惯和学法需求，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台儿庄区司法局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高效运营“台儿庄司法”微信公众号、“台儿庄普法”今日头条号等新媒体账号，不断提升政务新媒体传播力、引导力、影响力、公信力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不断增强群众的获得感。</w:t>
      </w:r>
    </w:p>
    <w:p>
      <w:pPr>
        <w:spacing w:line="560" w:lineRule="exact"/>
        <w:ind w:firstLine="618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（五）监督保障方面。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组织开展政府信息公开培训，不断完善政府信息公开工作机制，严格落实政府信息公开保密要求，不断规范政府信息公开工作。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局机关成立信息公开领导小组，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明确由一名班子领导分管政府信息公开工作，局办公室具体负责政府信息公开日常工作。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17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10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kern w:val="0"/>
                <w:szCs w:val="21"/>
              </w:rPr>
              <w:t>0</w:t>
            </w:r>
          </w:p>
        </w:tc>
      </w:tr>
    </w:tbl>
    <w:p>
      <w:pPr>
        <w:ind w:firstLine="618" w:firstLineChars="200"/>
        <w:rPr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Style w:val="10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699"/>
        <w:gridCol w:w="2973"/>
        <w:gridCol w:w="752"/>
        <w:gridCol w:w="540"/>
        <w:gridCol w:w="540"/>
        <w:gridCol w:w="720"/>
        <w:gridCol w:w="675"/>
        <w:gridCol w:w="526"/>
        <w:gridCol w:w="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1" w:leftChars="-51" w:right="-101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1" w:leftChars="-51" w:right="-101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1" w:leftChars="-51" w:right="-101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1" w:leftChars="-51" w:right="-101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59" w:leftChars="-30" w:right="-127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1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1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1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1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1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</w:tbl>
    <w:p>
      <w:pPr>
        <w:ind w:firstLine="61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Style w:val="10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1" w:leftChars="-71" w:right="-161" w:rightChars="-81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结果</w:t>
            </w:r>
          </w:p>
          <w:p>
            <w:pPr>
              <w:widowControl/>
              <w:ind w:left="-141" w:leftChars="-71" w:right="-161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1" w:leftChars="-21" w:right="-125" w:rightChars="-6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77" w:leftChars="-39" w:right="-91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1" w:leftChars="-56" w:right="-111" w:rightChars="-56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尚未</w:t>
            </w:r>
          </w:p>
          <w:p>
            <w:pPr>
              <w:widowControl/>
              <w:ind w:left="-111" w:leftChars="-56" w:right="-111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50" w:right="-119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1" w:leftChars="-41" w:right="-83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9" w:leftChars="-60" w:right="-129" w:rightChars="-65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其他</w:t>
            </w:r>
          </w:p>
          <w:p>
            <w:pPr>
              <w:widowControl/>
              <w:ind w:left="-119" w:leftChars="-60" w:right="-129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55" w:leftChars="-78" w:right="-145" w:rightChars="-73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尚未</w:t>
            </w:r>
          </w:p>
          <w:p>
            <w:pPr>
              <w:widowControl/>
              <w:ind w:left="-155" w:leftChars="-78" w:right="-145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3" w:leftChars="-47" w:right="-73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9" w:leftChars="-65" w:right="-117" w:rightChars="-59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结果</w:t>
            </w:r>
          </w:p>
          <w:p>
            <w:pPr>
              <w:widowControl/>
              <w:ind w:left="-129" w:leftChars="-65" w:right="-117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5" w:leftChars="-83" w:right="-127" w:rightChars="-64"/>
              <w:jc w:val="center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其他</w:t>
            </w:r>
          </w:p>
          <w:p>
            <w:pPr>
              <w:widowControl/>
              <w:ind w:left="-165" w:leftChars="-83" w:right="-127" w:rightChars="-64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5" w:leftChars="-33" w:right="-99" w:rightChars="-5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560" w:lineRule="exact"/>
        <w:ind w:firstLine="617"/>
        <w:jc w:val="both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bidi="ar"/>
        </w:rPr>
        <w:t>五、存在的主要问题及改进情况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17"/>
        <w:rPr>
          <w:rFonts w:asci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2023年我局政府信息公开工作平稳运行，政府信息公开取得一定成效，但距上级要求和群众期待还存在短板和不足，主要表现在：业务科室人员政府信息公开意识有待提高；微信公众号与人民群众互动交流不足。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17"/>
        <w:rPr>
          <w:rFonts w:asci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下一步我局将紧紧结合自身工作实际，认真做好以下几方面工作：一是提高思想认识，组织人员认真学习《中华人民共和国政府信息公开条例》，充分认识政府信息公开的重要性；二是加强新媒体管理，丰富宣传方式，完善互动交流渠道，切实发挥好政务新媒体的宣传平台作用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17"/>
        <w:jc w:val="both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bidi="ar"/>
        </w:rPr>
        <w:t>六、其他需要报告的事项</w:t>
      </w:r>
    </w:p>
    <w:p>
      <w:pPr>
        <w:spacing w:line="560" w:lineRule="exact"/>
        <w:ind w:firstLine="618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</w:rPr>
        <w:t>（一）收取信息处理费情况方面。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2023年，台儿庄区司法局不存在因信息处理收取相关费用的情况。</w:t>
      </w:r>
    </w:p>
    <w:p>
      <w:pPr>
        <w:spacing w:line="560" w:lineRule="exact"/>
        <w:ind w:firstLine="618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</w:rPr>
        <w:t>（二）落实上级年度政务公开工作要点情况。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局机关成立信息公开领导小组，明确任务分工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，科学制定工作要点，有序推进政务公开工作。</w:t>
      </w:r>
    </w:p>
    <w:p>
      <w:pPr>
        <w:spacing w:line="560" w:lineRule="exact"/>
        <w:ind w:firstLine="618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</w:rPr>
        <w:t>人大代表建议和政协提案办理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  <w:lang w:val="en-US" w:eastAsia="zh-CN"/>
        </w:rPr>
        <w:t>结果公开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</w:rPr>
        <w:t>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2023年，台儿庄区司法局承办人大代表建议0件，政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协提案0件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人大代表建议和政协提案办理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结果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在区政府门户网站建议提案专栏公开0件。</w:t>
      </w:r>
    </w:p>
    <w:p>
      <w:pPr>
        <w:spacing w:line="560" w:lineRule="exact"/>
        <w:ind w:firstLine="618" w:firstLineChars="200"/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</w:rPr>
        <w:t>（四）政务公开工作创新情况。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spacing w:line="560" w:lineRule="exact"/>
        <w:ind w:firstLine="618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</w:rPr>
        <w:t>（五）本行政机关政府信息公开工作年度报告数据统计需要说明的事项。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本报告中所列数据的统计期限为2023年1月1日至2023年12月31日。</w:t>
      </w:r>
    </w:p>
    <w:p>
      <w:pPr>
        <w:spacing w:line="560" w:lineRule="exact"/>
        <w:ind w:firstLine="618" w:firstLineChars="200"/>
        <w:rPr>
          <w:rFonts w:ascii="楷体_GB2312" w:hAnsi="仿宋_GB2312" w:eastAsia="楷体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highlight w:val="none"/>
          <w:shd w:val="clear" w:color="auto" w:fill="FFFFFF"/>
        </w:rPr>
        <w:t>（六）本行政机关认为需要报告的其他事项：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无。</w:t>
      </w:r>
    </w:p>
    <w:p>
      <w:pPr>
        <w:spacing w:line="560" w:lineRule="exact"/>
        <w:ind w:firstLine="618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highlight w:val="none"/>
          <w:shd w:val="clear" w:color="auto" w:fill="FFFFFF"/>
        </w:rPr>
        <w:t>（七）其他有关文件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</w:rPr>
        <w:t>专门要求通过政府信息公开工作年度报告予以报告的事项：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17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17"/>
        <w:jc w:val="right"/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枣庄市台儿庄区司法局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17"/>
        <w:jc w:val="righ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2024年1月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日</w:t>
      </w:r>
    </w:p>
    <w:sectPr>
      <w:footerReference r:id="rId3" w:type="default"/>
      <w:footerReference r:id="rId4" w:type="even"/>
      <w:pgSz w:w="11906" w:h="16838"/>
      <w:pgMar w:top="1985" w:right="1588" w:bottom="1701" w:left="1588" w:header="1418" w:footer="1701" w:gutter="0"/>
      <w:pgNumType w:fmt="decimalFullWidth"/>
      <w:cols w:space="425" w:num="1"/>
      <w:docGrid w:type="linesAndChars" w:linePitch="31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560"/>
      <w:rPr>
        <w:rStyle w:val="14"/>
        <w:rFonts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１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—</w:t>
    </w:r>
  </w:p>
  <w:p>
    <w:pPr>
      <w:ind w:firstLine="560"/>
      <w:rPr>
        <w:rFonts w:ascii="宋体" w:hAnsi="宋体"/>
        <w:sz w:val="28"/>
        <w:szCs w:val="28"/>
      </w:rPr>
    </w:pPr>
  </w:p>
  <w:p>
    <w:pPr>
      <w:ind w:firstLine="640"/>
    </w:pPr>
  </w:p>
  <w:p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560"/>
      <w:rPr>
        <w:rStyle w:val="14"/>
        <w:rFonts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２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—</w:t>
    </w:r>
  </w:p>
  <w:p>
    <w:pPr>
      <w:ind w:firstLine="640"/>
      <w:rPr>
        <w:rFonts w:hint="eastAsia"/>
      </w:rPr>
    </w:pPr>
  </w:p>
  <w:p>
    <w:pPr>
      <w:ind w:firstLine="640"/>
    </w:pPr>
  </w:p>
  <w:p>
    <w:pPr>
      <w:ind w:firstLine="64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9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TVlYzk0OGVlY2ZhNWZmZWNjYWMyZDdjOWU2MmIifQ=="/>
  </w:docVars>
  <w:rsids>
    <w:rsidRoot w:val="34EC3754"/>
    <w:rsid w:val="00007884"/>
    <w:rsid w:val="00010E5E"/>
    <w:rsid w:val="00011885"/>
    <w:rsid w:val="000149C9"/>
    <w:rsid w:val="0003383F"/>
    <w:rsid w:val="00064D97"/>
    <w:rsid w:val="00070B65"/>
    <w:rsid w:val="00072FAA"/>
    <w:rsid w:val="00085421"/>
    <w:rsid w:val="00086B07"/>
    <w:rsid w:val="000A3589"/>
    <w:rsid w:val="000B400B"/>
    <w:rsid w:val="00125E5D"/>
    <w:rsid w:val="0013605D"/>
    <w:rsid w:val="00161E76"/>
    <w:rsid w:val="001724D4"/>
    <w:rsid w:val="00184424"/>
    <w:rsid w:val="00191273"/>
    <w:rsid w:val="0019314E"/>
    <w:rsid w:val="001A191C"/>
    <w:rsid w:val="001A40FC"/>
    <w:rsid w:val="001A6002"/>
    <w:rsid w:val="001C327B"/>
    <w:rsid w:val="001C7B0B"/>
    <w:rsid w:val="001D6C2E"/>
    <w:rsid w:val="002060D8"/>
    <w:rsid w:val="00213ECC"/>
    <w:rsid w:val="00233A82"/>
    <w:rsid w:val="00234842"/>
    <w:rsid w:val="00240D6B"/>
    <w:rsid w:val="002638AA"/>
    <w:rsid w:val="00264EC1"/>
    <w:rsid w:val="0026778D"/>
    <w:rsid w:val="00283F9A"/>
    <w:rsid w:val="00297859"/>
    <w:rsid w:val="002B359A"/>
    <w:rsid w:val="002C1314"/>
    <w:rsid w:val="002D2EAC"/>
    <w:rsid w:val="003037BF"/>
    <w:rsid w:val="003253BB"/>
    <w:rsid w:val="00335B30"/>
    <w:rsid w:val="00340F1F"/>
    <w:rsid w:val="00342068"/>
    <w:rsid w:val="003731D7"/>
    <w:rsid w:val="00375848"/>
    <w:rsid w:val="00385B2D"/>
    <w:rsid w:val="00395DB7"/>
    <w:rsid w:val="003C2B5F"/>
    <w:rsid w:val="003C6AC1"/>
    <w:rsid w:val="003F4DE7"/>
    <w:rsid w:val="004243E3"/>
    <w:rsid w:val="00433071"/>
    <w:rsid w:val="00442280"/>
    <w:rsid w:val="00453CF5"/>
    <w:rsid w:val="00473466"/>
    <w:rsid w:val="00480430"/>
    <w:rsid w:val="00490F2D"/>
    <w:rsid w:val="004A2534"/>
    <w:rsid w:val="004D0B68"/>
    <w:rsid w:val="004D0E98"/>
    <w:rsid w:val="004E4913"/>
    <w:rsid w:val="004F1C10"/>
    <w:rsid w:val="004F3C24"/>
    <w:rsid w:val="00525F70"/>
    <w:rsid w:val="00563169"/>
    <w:rsid w:val="005951B9"/>
    <w:rsid w:val="00596887"/>
    <w:rsid w:val="0059783E"/>
    <w:rsid w:val="00615B8E"/>
    <w:rsid w:val="00615FC5"/>
    <w:rsid w:val="0063273E"/>
    <w:rsid w:val="00633E28"/>
    <w:rsid w:val="006341BC"/>
    <w:rsid w:val="00650565"/>
    <w:rsid w:val="006866C2"/>
    <w:rsid w:val="006A6E86"/>
    <w:rsid w:val="006B490A"/>
    <w:rsid w:val="006D08A9"/>
    <w:rsid w:val="006D68B0"/>
    <w:rsid w:val="006E144F"/>
    <w:rsid w:val="00721F90"/>
    <w:rsid w:val="00737B29"/>
    <w:rsid w:val="00757C12"/>
    <w:rsid w:val="00771949"/>
    <w:rsid w:val="00773B23"/>
    <w:rsid w:val="00783695"/>
    <w:rsid w:val="00785F9B"/>
    <w:rsid w:val="0078671D"/>
    <w:rsid w:val="007946AA"/>
    <w:rsid w:val="007A1B05"/>
    <w:rsid w:val="007B6EA8"/>
    <w:rsid w:val="007D2680"/>
    <w:rsid w:val="007D6FD0"/>
    <w:rsid w:val="007F178A"/>
    <w:rsid w:val="007F7760"/>
    <w:rsid w:val="00823E63"/>
    <w:rsid w:val="00833F75"/>
    <w:rsid w:val="00836E77"/>
    <w:rsid w:val="00846BB9"/>
    <w:rsid w:val="008525E5"/>
    <w:rsid w:val="0087659F"/>
    <w:rsid w:val="008A64F6"/>
    <w:rsid w:val="008A6EFC"/>
    <w:rsid w:val="008B0483"/>
    <w:rsid w:val="008B3DF0"/>
    <w:rsid w:val="008B5C14"/>
    <w:rsid w:val="008C19A8"/>
    <w:rsid w:val="008C27E8"/>
    <w:rsid w:val="008F1750"/>
    <w:rsid w:val="008F1751"/>
    <w:rsid w:val="00905220"/>
    <w:rsid w:val="00922449"/>
    <w:rsid w:val="009468B4"/>
    <w:rsid w:val="00960E3E"/>
    <w:rsid w:val="00960F71"/>
    <w:rsid w:val="009655C7"/>
    <w:rsid w:val="00981F81"/>
    <w:rsid w:val="009B249F"/>
    <w:rsid w:val="009B28F4"/>
    <w:rsid w:val="009D5B48"/>
    <w:rsid w:val="009D7471"/>
    <w:rsid w:val="009F1DA1"/>
    <w:rsid w:val="00A20FC1"/>
    <w:rsid w:val="00A440C3"/>
    <w:rsid w:val="00A5204A"/>
    <w:rsid w:val="00A57821"/>
    <w:rsid w:val="00A77767"/>
    <w:rsid w:val="00A910F9"/>
    <w:rsid w:val="00A95681"/>
    <w:rsid w:val="00AB7811"/>
    <w:rsid w:val="00AC09D9"/>
    <w:rsid w:val="00AC2572"/>
    <w:rsid w:val="00AC50B6"/>
    <w:rsid w:val="00AD1BBB"/>
    <w:rsid w:val="00AD2B6B"/>
    <w:rsid w:val="00AE7C3D"/>
    <w:rsid w:val="00B27A6F"/>
    <w:rsid w:val="00B34C83"/>
    <w:rsid w:val="00B3648A"/>
    <w:rsid w:val="00B47E3F"/>
    <w:rsid w:val="00B5161F"/>
    <w:rsid w:val="00B732D5"/>
    <w:rsid w:val="00B73AAB"/>
    <w:rsid w:val="00B91075"/>
    <w:rsid w:val="00B95944"/>
    <w:rsid w:val="00B966D7"/>
    <w:rsid w:val="00BA7AF3"/>
    <w:rsid w:val="00BB5890"/>
    <w:rsid w:val="00BB5BCC"/>
    <w:rsid w:val="00BC018C"/>
    <w:rsid w:val="00BC0762"/>
    <w:rsid w:val="00BC2CA6"/>
    <w:rsid w:val="00BC66C7"/>
    <w:rsid w:val="00BE287E"/>
    <w:rsid w:val="00BF0C53"/>
    <w:rsid w:val="00BF6EBE"/>
    <w:rsid w:val="00C06007"/>
    <w:rsid w:val="00C24B37"/>
    <w:rsid w:val="00C738DE"/>
    <w:rsid w:val="00C91F5D"/>
    <w:rsid w:val="00C96A2C"/>
    <w:rsid w:val="00CA64AD"/>
    <w:rsid w:val="00CB5DEA"/>
    <w:rsid w:val="00CB5EBF"/>
    <w:rsid w:val="00CC032A"/>
    <w:rsid w:val="00CC18B8"/>
    <w:rsid w:val="00CC73DE"/>
    <w:rsid w:val="00CE4443"/>
    <w:rsid w:val="00CF01E0"/>
    <w:rsid w:val="00D102F5"/>
    <w:rsid w:val="00D15282"/>
    <w:rsid w:val="00D20841"/>
    <w:rsid w:val="00D22334"/>
    <w:rsid w:val="00D27C06"/>
    <w:rsid w:val="00D27E22"/>
    <w:rsid w:val="00D354B5"/>
    <w:rsid w:val="00D570FC"/>
    <w:rsid w:val="00DA126F"/>
    <w:rsid w:val="00DB7F54"/>
    <w:rsid w:val="00DC068A"/>
    <w:rsid w:val="00DC36D6"/>
    <w:rsid w:val="00DC4CA2"/>
    <w:rsid w:val="00DE5830"/>
    <w:rsid w:val="00E07C8E"/>
    <w:rsid w:val="00E1390A"/>
    <w:rsid w:val="00E15B1D"/>
    <w:rsid w:val="00E3414E"/>
    <w:rsid w:val="00E7122D"/>
    <w:rsid w:val="00E7157F"/>
    <w:rsid w:val="00E832B1"/>
    <w:rsid w:val="00E84F6C"/>
    <w:rsid w:val="00E8688E"/>
    <w:rsid w:val="00E86EF9"/>
    <w:rsid w:val="00EC4A06"/>
    <w:rsid w:val="00ED6C68"/>
    <w:rsid w:val="00EE04D0"/>
    <w:rsid w:val="00EF09DD"/>
    <w:rsid w:val="00F10172"/>
    <w:rsid w:val="00F15D23"/>
    <w:rsid w:val="00F17EBD"/>
    <w:rsid w:val="00F3164F"/>
    <w:rsid w:val="00F376A4"/>
    <w:rsid w:val="00F4601B"/>
    <w:rsid w:val="00F462A7"/>
    <w:rsid w:val="00F77054"/>
    <w:rsid w:val="00F81870"/>
    <w:rsid w:val="00F82DB8"/>
    <w:rsid w:val="00F9617C"/>
    <w:rsid w:val="00FD5392"/>
    <w:rsid w:val="00FE1A90"/>
    <w:rsid w:val="00FF476A"/>
    <w:rsid w:val="07035D2F"/>
    <w:rsid w:val="07B809CE"/>
    <w:rsid w:val="085C148C"/>
    <w:rsid w:val="09F86633"/>
    <w:rsid w:val="126B7053"/>
    <w:rsid w:val="147E4E1C"/>
    <w:rsid w:val="169F72CB"/>
    <w:rsid w:val="1A410195"/>
    <w:rsid w:val="1ADD5D48"/>
    <w:rsid w:val="1D744070"/>
    <w:rsid w:val="1E7E1F44"/>
    <w:rsid w:val="22DE784D"/>
    <w:rsid w:val="2B196E76"/>
    <w:rsid w:val="2B300A31"/>
    <w:rsid w:val="2E25159E"/>
    <w:rsid w:val="34EC3754"/>
    <w:rsid w:val="38435673"/>
    <w:rsid w:val="3D1D0DC6"/>
    <w:rsid w:val="3EC819E0"/>
    <w:rsid w:val="3F606149"/>
    <w:rsid w:val="4159610E"/>
    <w:rsid w:val="42C6780A"/>
    <w:rsid w:val="4491718B"/>
    <w:rsid w:val="487D1310"/>
    <w:rsid w:val="4B3C4784"/>
    <w:rsid w:val="4BF202CC"/>
    <w:rsid w:val="4C360D1D"/>
    <w:rsid w:val="4D4128AF"/>
    <w:rsid w:val="4DE937BC"/>
    <w:rsid w:val="4E0542B2"/>
    <w:rsid w:val="51CA4C19"/>
    <w:rsid w:val="5570747C"/>
    <w:rsid w:val="5A8D766B"/>
    <w:rsid w:val="5C9914E1"/>
    <w:rsid w:val="5DF77933"/>
    <w:rsid w:val="60AB73E1"/>
    <w:rsid w:val="63620412"/>
    <w:rsid w:val="63A8019D"/>
    <w:rsid w:val="65F8334A"/>
    <w:rsid w:val="67EA4012"/>
    <w:rsid w:val="6B9344A5"/>
    <w:rsid w:val="6C516147"/>
    <w:rsid w:val="72E36D0B"/>
    <w:rsid w:val="752913AF"/>
    <w:rsid w:val="752F3AB5"/>
    <w:rsid w:val="76DFC3E1"/>
    <w:rsid w:val="77F8480C"/>
    <w:rsid w:val="7A744F05"/>
    <w:rsid w:val="7B7934A2"/>
    <w:rsid w:val="7DF703D1"/>
    <w:rsid w:val="7FAC2D0E"/>
    <w:rsid w:val="7FFC67F7"/>
    <w:rsid w:val="CFB3167C"/>
    <w:rsid w:val="E3F97341"/>
    <w:rsid w:val="FFE39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line="413" w:lineRule="auto"/>
      <w:outlineLvl w:val="2"/>
    </w:pPr>
    <w:rPr>
      <w:rFonts w:ascii="Calibri" w:hAnsi="Calibri" w:cs="Calibri"/>
      <w:b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99"/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Body Text First Indent 2"/>
    <w:basedOn w:val="3"/>
    <w:autoRedefine/>
    <w:unhideWhenUsed/>
    <w:qFormat/>
    <w:uiPriority w:val="99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4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99"/>
    <w:rPr>
      <w:color w:val="0000FF"/>
      <w:u w:val="single"/>
    </w:rPr>
  </w:style>
  <w:style w:type="paragraph" w:customStyle="1" w:styleId="16">
    <w:name w:val="Char"/>
    <w:basedOn w:val="1"/>
    <w:autoRedefine/>
    <w:qFormat/>
    <w:uiPriority w:val="0"/>
    <w:pPr>
      <w:widowControl/>
      <w:jc w:val="left"/>
    </w:pPr>
    <w:rPr>
      <w:rFonts w:ascii="Tahoma" w:hAnsi="Tahoma" w:cs="仿宋_GB2312"/>
      <w:kern w:val="0"/>
      <w:sz w:val="24"/>
    </w:rPr>
  </w:style>
  <w:style w:type="paragraph" w:customStyle="1" w:styleId="17">
    <w:name w:val="正文缩进1"/>
    <w:basedOn w:val="1"/>
    <w:autoRedefine/>
    <w:qFormat/>
    <w:uiPriority w:val="0"/>
    <w:pPr>
      <w:ind w:firstLine="420" w:firstLineChars="200"/>
    </w:pPr>
    <w:rPr>
      <w:rFonts w:hint="eastAsia"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424</Words>
  <Characters>2418</Characters>
  <Lines>20</Lines>
  <Paragraphs>5</Paragraphs>
  <TotalTime>3</TotalTime>
  <ScaleCrop>false</ScaleCrop>
  <LinksUpToDate>false</LinksUpToDate>
  <CharactersWithSpaces>2837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2024-01-17T08:07:00Z</dcterms:created>
  <dc:creator>Administrator</dc:creator>
  <cp:lastModifiedBy>牵着蚂蚁逛大街</cp:lastModifiedBy>
  <cp:lastPrinted>2024-01-16T01:07:00Z</cp:lastPrinted>
  <dcterms:modified xsi:type="dcterms:W3CDTF">2024-02-21T01:25:18Z</dcterms:modified>
  <dc:title>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7EBE60797AA34D959CEB76AFF3CCE6E8_13</vt:lpwstr>
  </property>
  <property fmtid="{D5CDD505-2E9C-101B-9397-08002B2CF9AE}" pid="3" name="KSOProductBuildVer">
    <vt:lpwstr>2052-12.1.0.16250</vt:lpwstr>
  </property>
</Properties>
</file>