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Hlk89165240"/>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枣庄市台儿庄区文化和旅游局</w:t>
      </w: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2023年政府信息公开工作年度报告</w:t>
      </w:r>
      <w:bookmarkEnd w:id="0"/>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wordWrap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根据《中华人民共和国政府信息公开条例》（国务院令第</w:t>
      </w:r>
      <w:r>
        <w:rPr>
          <w:rFonts w:ascii="仿宋_GB2312" w:hAnsi="仿宋_GB2312" w:eastAsia="仿宋_GB2312" w:cs="仿宋_GB2312"/>
          <w:color w:val="000000" w:themeColor="text1"/>
          <w:sz w:val="32"/>
          <w:szCs w:val="32"/>
          <w14:textFill>
            <w14:solidFill>
              <w14:schemeClr w14:val="tx1"/>
            </w14:solidFill>
          </w14:textFill>
        </w:rPr>
        <w:t>711号）相关规定及《台儿庄区人民政府办公室关于做好2023年政府信息公开工作年度报告编制和发布工作的通知》要求，现向社会公布台儿庄区</w:t>
      </w:r>
      <w:r>
        <w:rPr>
          <w:rFonts w:hint="eastAsia" w:ascii="仿宋_GB2312" w:hAnsi="仿宋_GB2312" w:eastAsia="仿宋_GB2312" w:cs="仿宋_GB2312"/>
          <w:color w:val="000000" w:themeColor="text1"/>
          <w:sz w:val="32"/>
          <w:szCs w:val="32"/>
          <w14:textFill>
            <w14:solidFill>
              <w14:schemeClr w14:val="tx1"/>
            </w14:solidFill>
          </w14:textFill>
        </w:rPr>
        <w:t>文化和旅游</w:t>
      </w:r>
      <w:r>
        <w:rPr>
          <w:rFonts w:ascii="仿宋_GB2312" w:hAnsi="仿宋_GB2312" w:eastAsia="仿宋_GB2312" w:cs="仿宋_GB2312"/>
          <w:color w:val="000000" w:themeColor="text1"/>
          <w:sz w:val="32"/>
          <w:szCs w:val="32"/>
          <w14:textFill>
            <w14:solidFill>
              <w14:schemeClr w14:val="tx1"/>
            </w14:solidFill>
          </w14:textFill>
        </w:rPr>
        <w:t>局2023年度政府信息公开报告。本报告由总体情况、主动公开政府信息情况、收到和处理政府信息公开申请情况、政府信息公开行政复议、行政诉讼情况、存在的主要问题及改进情况</w:t>
      </w:r>
      <w:r>
        <w:rPr>
          <w:rFonts w:hint="eastAsia" w:ascii="仿宋_GB2312" w:hAnsi="Times New Roman" w:eastAsia="仿宋_GB2312" w:cs="Times New Roman"/>
          <w:color w:val="000000" w:themeColor="text1"/>
          <w:sz w:val="32"/>
          <w:szCs w:val="32"/>
          <w14:textFill>
            <w14:solidFill>
              <w14:schemeClr w14:val="tx1"/>
            </w14:solidFill>
          </w14:textFill>
        </w:rPr>
        <w:t>、其他需要报告的事项共六个部分组成。</w:t>
      </w:r>
      <w:r>
        <w:rPr>
          <w:rFonts w:hint="eastAsia" w:ascii="仿宋_GB2312" w:hAnsi="Times New Roman" w:eastAsia="仿宋_GB2312" w:cs="Times New Roman"/>
          <w:bCs/>
          <w:color w:val="000000" w:themeColor="text1"/>
          <w:sz w:val="32"/>
          <w:szCs w:val="32"/>
          <w14:textFill>
            <w14:solidFill>
              <w14:schemeClr w14:val="tx1"/>
            </w14:solidFill>
          </w14:textFill>
        </w:rPr>
        <w:t>本报告中所列数据的统计时限为2023年1月1日至2023年12月31日。可通过台儿庄区政府门户网站（http://www.tez.gov.cn/）查阅或下载。</w:t>
      </w:r>
      <w:r>
        <w:rPr>
          <w:rFonts w:hint="eastAsia" w:ascii="仿宋_GB2312" w:hAnsi="Times New Roman" w:eastAsia="仿宋_GB2312" w:cs="Times New Roman"/>
          <w:color w:val="000000" w:themeColor="text1"/>
          <w:sz w:val="32"/>
          <w:szCs w:val="32"/>
          <w14:textFill>
            <w14:solidFill>
              <w14:schemeClr w14:val="tx1"/>
            </w14:solidFill>
          </w14:textFill>
        </w:rPr>
        <w:t>如对本报告有疑问，请与台儿庄区文化和旅游局办公室联系(地址：枣庄市台儿庄区康宁路6号；电话：0632—6611762；邮箱：tezqwlj@zz.shandong.cn )。</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一、总体情况</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2023年度，台儿庄区文化和旅游局按照各级关于政府信息公开工作的有关要求部署，坚持“公开为常态，不公开为例外”的</w:t>
      </w:r>
      <w:r>
        <w:rPr>
          <w:rFonts w:ascii="仿宋_GB2312" w:hAnsi="仿宋_GB2312" w:eastAsia="仿宋_GB2312" w:cs="仿宋_GB2312"/>
          <w:color w:val="000000" w:themeColor="text1"/>
          <w:sz w:val="32"/>
          <w:szCs w:val="32"/>
          <w14:textFill>
            <w14:solidFill>
              <w14:schemeClr w14:val="tx1"/>
            </w14:solidFill>
          </w14:textFill>
        </w:rPr>
        <w:t>原则</w:t>
      </w:r>
      <w:r>
        <w:rPr>
          <w:rFonts w:hint="eastAsia" w:ascii="仿宋_GB2312" w:hAnsi="仿宋_GB2312" w:eastAsia="仿宋_GB2312" w:cs="仿宋_GB2312"/>
          <w:color w:val="000000" w:themeColor="text1"/>
          <w:sz w:val="32"/>
          <w:szCs w:val="32"/>
          <w14:textFill>
            <w14:solidFill>
              <w14:schemeClr w14:val="tx1"/>
            </w14:solidFill>
          </w14:textFill>
        </w:rPr>
        <w:t>，不断加强组织领导和队伍建设，调整完善信息公开目录，充实优化信息公开内容，依法依规做好公开工作，增强文化旅游工作的公开性和透明度。</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Cs/>
          <w:color w:val="000000" w:themeColor="text1"/>
          <w:sz w:val="32"/>
          <w:szCs w:val="32"/>
          <w14:textFill>
            <w14:solidFill>
              <w14:schemeClr w14:val="tx1"/>
            </w14:solidFill>
          </w14:textFill>
        </w:rPr>
        <w:t>1.主动公开。</w:t>
      </w:r>
      <w:r>
        <w:rPr>
          <w:rFonts w:hint="eastAsia" w:ascii="仿宋_GB2312" w:eastAsia="仿宋_GB2312"/>
          <w:color w:val="000000" w:themeColor="text1"/>
          <w:sz w:val="32"/>
          <w:szCs w:val="32"/>
          <w14:textFill>
            <w14:solidFill>
              <w14:schemeClr w14:val="tx1"/>
            </w14:solidFill>
          </w14:textFill>
        </w:rPr>
        <w:t>台儿庄区文旅局强化组织领导，制定了政务信息公开制度，形成“主要领导亲自抓，分管领导具体抓，职能科室抓落实”的工作机制。本年度主动公开政府信息64条。</w:t>
      </w:r>
    </w:p>
    <w:p>
      <w:pPr>
        <w:pStyle w:val="6"/>
        <w:widowControl/>
        <w:spacing w:beforeAutospacing="0" w:afterAutospacing="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eastAsia="楷体_GB2312"/>
          <w:bCs/>
          <w:color w:val="000000" w:themeColor="text1"/>
          <w:sz w:val="32"/>
          <w:szCs w:val="32"/>
          <w14:textFill>
            <w14:solidFill>
              <w14:schemeClr w14:val="tx1"/>
            </w14:solidFill>
          </w14:textFill>
        </w:rPr>
        <w:t>2.依申请公开。</w:t>
      </w:r>
      <w:r>
        <w:rPr>
          <w:rFonts w:hint="eastAsia" w:ascii="仿宋_GB2312" w:hAnsi="仿宋_GB2312" w:eastAsia="仿宋_GB2312" w:cs="仿宋_GB2312"/>
          <w:color w:val="000000" w:themeColor="text1"/>
          <w:sz w:val="32"/>
          <w:szCs w:val="32"/>
          <w14:textFill>
            <w14:solidFill>
              <w14:schemeClr w14:val="tx1"/>
            </w14:solidFill>
          </w14:textFill>
        </w:rPr>
        <w:t>密切关注申请情况，严格落实依申请公开办理制度，本年度我局收到1件依申请公开政府信息，已按时处理办结。</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Cs/>
          <w:color w:val="000000" w:themeColor="text1"/>
          <w:sz w:val="32"/>
          <w:szCs w:val="32"/>
          <w14:textFill>
            <w14:solidFill>
              <w14:schemeClr w14:val="tx1"/>
            </w14:solidFill>
          </w14:textFill>
        </w:rPr>
        <w:t>3.政府信息管理。</w:t>
      </w:r>
      <w:r>
        <w:rPr>
          <w:rFonts w:hint="eastAsia" w:ascii="仿宋_GB2312" w:eastAsia="仿宋_GB2312"/>
          <w:color w:val="000000" w:themeColor="text1"/>
          <w:sz w:val="32"/>
          <w:szCs w:val="32"/>
          <w14:textFill>
            <w14:solidFill>
              <w14:schemeClr w14:val="tx1"/>
            </w14:solidFill>
          </w14:textFill>
        </w:rPr>
        <w:t>为做好我局政务公开工作，明确具体分管领导和专职工作人员，进一步</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责任落实到岗，工作落实到人，保障政务公开工作顺利开展</w:t>
      </w:r>
      <w:r>
        <w:rPr>
          <w:rFonts w:hint="eastAsia" w:ascii="仿宋_GB2312" w:hAnsi="仿宋_GB2312" w:eastAsia="仿宋_GB2312" w:cs="仿宋_GB2312"/>
          <w:color w:val="000000" w:themeColor="text1"/>
          <w:spacing w:val="5"/>
          <w:sz w:val="32"/>
          <w:szCs w:val="32"/>
          <w:shd w:val="clear" w:color="auto" w:fill="FFFFFF"/>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不断完善政府信息公开工作机制和信息发布审核流程，</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提高政务公开工作的水平。</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Cs/>
          <w:color w:val="000000" w:themeColor="text1"/>
          <w:sz w:val="32"/>
          <w:szCs w:val="32"/>
          <w14:textFill>
            <w14:solidFill>
              <w14:schemeClr w14:val="tx1"/>
            </w14:solidFill>
          </w14:textFill>
        </w:rPr>
        <w:t>4.政府信息公开平台建设。</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依托台儿庄区政府门户网站的“政府信息公开”专栏、微信公众号等平台，丰富政府信息公开形式，加强文旅信息的公开和宣传。</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Cs/>
          <w:color w:val="000000" w:themeColor="text1"/>
          <w:sz w:val="32"/>
          <w:szCs w:val="32"/>
          <w14:textFill>
            <w14:solidFill>
              <w14:schemeClr w14:val="tx1"/>
            </w14:solidFill>
          </w14:textFill>
        </w:rPr>
        <w:t>5.监督保障。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组织专职人员认真学习《中华人民共和国政府信息公开条例》和保密工作相关法规、政策，严格落实保密责任，严把信息安全关，进一步把握“公开”与“保密”的尺度，</w:t>
      </w:r>
      <w:r>
        <w:rPr>
          <w:rFonts w:hint="eastAsia" w:ascii="仿宋_GB2312" w:eastAsia="仿宋_GB2312"/>
          <w:color w:val="000000" w:themeColor="text1"/>
          <w:sz w:val="32"/>
          <w:szCs w:val="32"/>
          <w14:textFill>
            <w14:solidFill>
              <w14:schemeClr w14:val="tx1"/>
            </w14:solidFill>
          </w14:textFill>
        </w:rPr>
        <w:t>提高信息发布的主动性、积极性、创造性，切实保障人民群众知情权、参与权和监督权，做到公开透明。</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二、行政机关主动公开政府信息情况</w:t>
      </w:r>
    </w:p>
    <w:tbl>
      <w:tblPr>
        <w:tblStyle w:val="7"/>
        <w:tblW w:w="8824" w:type="dxa"/>
        <w:jc w:val="center"/>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560" w:lineRule="exact"/>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第二十条第（一）项</w:t>
            </w:r>
          </w:p>
        </w:tc>
      </w:tr>
      <w:tr>
        <w:tblPrEx>
          <w:tblLayout w:type="fixed"/>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现行有效件数</w:t>
            </w:r>
          </w:p>
        </w:tc>
      </w:tr>
      <w:tr>
        <w:tblPrEx>
          <w:tblLayout w:type="fixed"/>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规章</w:t>
            </w:r>
          </w:p>
        </w:tc>
        <w:tc>
          <w:tcPr>
            <w:tcW w:w="2206" w:type="dxa"/>
            <w:tcBorders>
              <w:top w:val="nil"/>
              <w:left w:val="nil"/>
              <w:bottom w:val="single" w:color="auto" w:sz="8" w:space="0"/>
              <w:right w:val="single" w:color="auto" w:sz="8" w:space="0"/>
            </w:tcBorders>
            <w:shd w:val="clear" w:color="auto" w:fill="auto"/>
            <w:vAlign w:val="center"/>
          </w:tcPr>
          <w:p>
            <w:pPr>
              <w:widowControl/>
              <w:spacing w:line="560" w:lineRule="exact"/>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0</w:t>
            </w:r>
          </w:p>
        </w:tc>
        <w:tc>
          <w:tcPr>
            <w:tcW w:w="2206" w:type="dxa"/>
            <w:tcBorders>
              <w:top w:val="nil"/>
              <w:left w:val="nil"/>
              <w:bottom w:val="single" w:color="auto" w:sz="8" w:space="0"/>
              <w:right w:val="single" w:color="auto" w:sz="8" w:space="0"/>
            </w:tcBorders>
            <w:shd w:val="clear" w:color="auto" w:fill="auto"/>
            <w:vAlign w:val="center"/>
          </w:tcPr>
          <w:p>
            <w:pPr>
              <w:widowControl/>
              <w:spacing w:line="560" w:lineRule="exact"/>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0</w:t>
            </w:r>
          </w:p>
        </w:tc>
        <w:tc>
          <w:tcPr>
            <w:tcW w:w="2206" w:type="dxa"/>
            <w:tcBorders>
              <w:top w:val="nil"/>
              <w:left w:val="nil"/>
              <w:bottom w:val="single" w:color="auto" w:sz="8" w:space="0"/>
              <w:right w:val="single" w:color="auto" w:sz="8" w:space="0"/>
            </w:tcBorders>
            <w:shd w:val="clear" w:color="auto" w:fill="auto"/>
            <w:vAlign w:val="center"/>
          </w:tcPr>
          <w:p>
            <w:pPr>
              <w:widowControl/>
              <w:spacing w:line="560" w:lineRule="exact"/>
              <w:jc w:val="left"/>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　0</w:t>
            </w:r>
          </w:p>
        </w:tc>
      </w:tr>
      <w:tr>
        <w:tblPrEx>
          <w:tblLayout w:type="fixed"/>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spacing w:line="560" w:lineRule="exact"/>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0</w:t>
            </w:r>
          </w:p>
        </w:tc>
        <w:tc>
          <w:tcPr>
            <w:tcW w:w="2206" w:type="dxa"/>
            <w:tcBorders>
              <w:top w:val="nil"/>
              <w:left w:val="nil"/>
              <w:bottom w:val="single" w:color="auto" w:sz="8" w:space="0"/>
              <w:right w:val="single" w:color="auto" w:sz="8" w:space="0"/>
            </w:tcBorders>
            <w:shd w:val="clear" w:color="auto" w:fill="auto"/>
            <w:vAlign w:val="center"/>
          </w:tcPr>
          <w:p>
            <w:pPr>
              <w:widowControl/>
              <w:spacing w:line="560" w:lineRule="exact"/>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0</w:t>
            </w:r>
          </w:p>
        </w:tc>
        <w:tc>
          <w:tcPr>
            <w:tcW w:w="2206" w:type="dxa"/>
            <w:tcBorders>
              <w:top w:val="nil"/>
              <w:left w:val="nil"/>
              <w:bottom w:val="single" w:color="auto" w:sz="8" w:space="0"/>
              <w:right w:val="single" w:color="auto" w:sz="8" w:space="0"/>
            </w:tcBorders>
            <w:shd w:val="clear" w:color="auto" w:fill="auto"/>
            <w:vAlign w:val="center"/>
          </w:tcPr>
          <w:p>
            <w:pPr>
              <w:widowControl/>
              <w:spacing w:line="560" w:lineRule="exact"/>
              <w:jc w:val="left"/>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　0</w:t>
            </w:r>
          </w:p>
        </w:tc>
      </w:tr>
      <w:tr>
        <w:tblPrEx>
          <w:tblLayout w:type="fixed"/>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560" w:lineRule="exact"/>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第二十条第（五）项</w:t>
            </w:r>
          </w:p>
        </w:tc>
      </w:tr>
      <w:tr>
        <w:tblPrEx>
          <w:tblLayout w:type="fixed"/>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5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tblPrEx>
          <w:tblLayout w:type="fixed"/>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560" w:lineRule="exact"/>
              <w:jc w:val="left"/>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　0</w:t>
            </w:r>
          </w:p>
        </w:tc>
      </w:tr>
      <w:tr>
        <w:tblPrEx>
          <w:tblLayout w:type="fixed"/>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560" w:lineRule="exact"/>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第二十条第（六）项</w:t>
            </w:r>
          </w:p>
        </w:tc>
      </w:tr>
      <w:tr>
        <w:tblPrEx>
          <w:tblLayout w:type="fixed"/>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5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tblPrEx>
          <w:tblLayout w:type="fixed"/>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560" w:lineRule="exact"/>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17</w:t>
            </w:r>
          </w:p>
        </w:tc>
      </w:tr>
      <w:tr>
        <w:tblPrEx>
          <w:tblLayout w:type="fixed"/>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560" w:lineRule="exact"/>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0</w:t>
            </w:r>
          </w:p>
        </w:tc>
      </w:tr>
      <w:tr>
        <w:tblPrEx>
          <w:tblLayout w:type="fixed"/>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560" w:lineRule="exact"/>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第二十条第（八）项</w:t>
            </w:r>
          </w:p>
        </w:tc>
      </w:tr>
      <w:tr>
        <w:tblPrEx>
          <w:tblLayout w:type="fixed"/>
          <w:tblCellMar>
            <w:top w:w="0" w:type="dxa"/>
            <w:left w:w="108" w:type="dxa"/>
            <w:bottom w:w="0" w:type="dxa"/>
            <w:right w:w="108" w:type="dxa"/>
          </w:tblCellMar>
        </w:tblPrEx>
        <w:trPr>
          <w:trHeight w:val="424"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5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本年收费金额（单位：万元）</w:t>
            </w:r>
          </w:p>
        </w:tc>
      </w:tr>
      <w:tr>
        <w:tblPrEx>
          <w:tblLayout w:type="fixed"/>
          <w:tblCellMar>
            <w:top w:w="0" w:type="dxa"/>
            <w:left w:w="108" w:type="dxa"/>
            <w:bottom w:w="0" w:type="dxa"/>
            <w:right w:w="108" w:type="dxa"/>
          </w:tblCellMar>
        </w:tblPrEx>
        <w:trPr>
          <w:trHeight w:val="38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560" w:lineRule="exact"/>
              <w:jc w:val="left"/>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　0</w:t>
            </w:r>
          </w:p>
        </w:tc>
      </w:tr>
    </w:tbl>
    <w:p>
      <w:pPr>
        <w:pStyle w:val="3"/>
        <w:spacing w:before="0" w:after="0" w:line="560" w:lineRule="exact"/>
        <w:ind w:firstLine="640" w:firstLineChars="200"/>
        <w:rPr>
          <w:rFonts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14:textFill>
            <w14:solidFill>
              <w14:schemeClr w14:val="tx1"/>
            </w14:solidFill>
          </w14:textFill>
        </w:rPr>
        <w:t>三、行政机关收到和处理政府信息公开申请情况</w:t>
      </w:r>
    </w:p>
    <w:tbl>
      <w:tblPr>
        <w:tblStyle w:val="7"/>
        <w:tblW w:w="87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63"/>
        <w:gridCol w:w="1514"/>
        <w:gridCol w:w="2558"/>
        <w:gridCol w:w="609"/>
        <w:gridCol w:w="567"/>
        <w:gridCol w:w="567"/>
        <w:gridCol w:w="731"/>
        <w:gridCol w:w="708"/>
        <w:gridCol w:w="466"/>
        <w:gridCol w:w="4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4635" w:type="dxa"/>
            <w:gridSpan w:val="3"/>
            <w:vMerge w:val="restart"/>
            <w:shd w:val="clear" w:color="auto" w:fill="auto"/>
            <w:tcMar>
              <w:left w:w="108" w:type="dxa"/>
              <w:right w:w="108" w:type="dxa"/>
            </w:tcMar>
            <w:vAlign w:val="center"/>
          </w:tcPr>
          <w:p>
            <w:pPr>
              <w:widowControl/>
              <w:jc w:val="center"/>
              <w:rPr>
                <w:rFonts w:ascii="楷体_GB2312" w:hAnsi="黑体" w:eastAsia="楷体_GB2312"/>
                <w:color w:val="000000" w:themeColor="text1"/>
                <w:kern w:val="0"/>
                <w:szCs w:val="21"/>
                <w14:textFill>
                  <w14:solidFill>
                    <w14:schemeClr w14:val="tx1"/>
                  </w14:solidFill>
                </w14:textFill>
              </w:rPr>
            </w:pPr>
            <w:r>
              <w:rPr>
                <w:rFonts w:hint="eastAsia" w:ascii="楷体_GB2312" w:hAnsi="黑体" w:eastAsia="楷体_GB2312"/>
                <w:color w:val="000000" w:themeColor="text1"/>
                <w:kern w:val="0"/>
                <w:szCs w:val="21"/>
                <w14:textFill>
                  <w14:solidFill>
                    <w14:schemeClr w14:val="tx1"/>
                  </w14:solidFill>
                </w14:textFill>
              </w:rPr>
              <w:t>（本列数据的勾稽关系为：第一项加第二项之和，</w:t>
            </w:r>
          </w:p>
          <w:p>
            <w:pPr>
              <w:widowControl/>
              <w:jc w:val="center"/>
              <w:rPr>
                <w:rFonts w:ascii="仿宋_GB2312" w:hAnsi="Times New Roman" w:eastAsia="仿宋_GB2312"/>
                <w:color w:val="000000" w:themeColor="text1"/>
                <w:szCs w:val="21"/>
                <w14:textFill>
                  <w14:solidFill>
                    <w14:schemeClr w14:val="tx1"/>
                  </w14:solidFill>
                </w14:textFill>
              </w:rPr>
            </w:pPr>
            <w:r>
              <w:rPr>
                <w:rFonts w:hint="eastAsia" w:ascii="楷体_GB2312" w:hAnsi="黑体" w:eastAsia="楷体_GB2312"/>
                <w:color w:val="000000" w:themeColor="text1"/>
                <w:kern w:val="0"/>
                <w:szCs w:val="21"/>
                <w14:textFill>
                  <w14:solidFill>
                    <w14:schemeClr w14:val="tx1"/>
                  </w14:solidFill>
                </w14:textFill>
              </w:rPr>
              <w:t>等于第三项加第四项之和）</w:t>
            </w:r>
          </w:p>
        </w:tc>
        <w:tc>
          <w:tcPr>
            <w:tcW w:w="4135" w:type="dxa"/>
            <w:gridSpan w:val="7"/>
            <w:shd w:val="clear" w:color="auto" w:fill="auto"/>
            <w:tcMar>
              <w:left w:w="108" w:type="dxa"/>
              <w:right w:w="108" w:type="dxa"/>
            </w:tcMar>
            <w:vAlign w:val="center"/>
          </w:tcPr>
          <w:p>
            <w:pPr>
              <w:widowControl/>
              <w:spacing w:line="320" w:lineRule="exact"/>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4635" w:type="dxa"/>
            <w:gridSpan w:val="3"/>
            <w:vMerge w:val="continue"/>
            <w:shd w:val="clear" w:color="auto" w:fill="auto"/>
            <w:tcMar>
              <w:left w:w="108" w:type="dxa"/>
              <w:right w:w="108" w:type="dxa"/>
            </w:tcMar>
            <w:vAlign w:val="center"/>
          </w:tcPr>
          <w:p>
            <w:pPr>
              <w:jc w:val="center"/>
              <w:rPr>
                <w:rFonts w:ascii="仿宋_GB2312" w:hAnsi="Times New Roman" w:eastAsia="仿宋_GB2312"/>
                <w:color w:val="000000" w:themeColor="text1"/>
                <w:szCs w:val="21"/>
                <w14:textFill>
                  <w14:solidFill>
                    <w14:schemeClr w14:val="tx1"/>
                  </w14:solidFill>
                </w14:textFill>
              </w:rPr>
            </w:pPr>
          </w:p>
        </w:tc>
        <w:tc>
          <w:tcPr>
            <w:tcW w:w="609" w:type="dxa"/>
            <w:vMerge w:val="restart"/>
            <w:shd w:val="clear" w:color="auto" w:fill="auto"/>
            <w:tcMar>
              <w:left w:w="108" w:type="dxa"/>
              <w:right w:w="108" w:type="dxa"/>
            </w:tcMar>
            <w:vAlign w:val="center"/>
          </w:tcPr>
          <w:p>
            <w:pPr>
              <w:widowControl/>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自然人</w:t>
            </w:r>
          </w:p>
        </w:tc>
        <w:tc>
          <w:tcPr>
            <w:tcW w:w="3039" w:type="dxa"/>
            <w:gridSpan w:val="5"/>
            <w:shd w:val="clear" w:color="auto" w:fill="auto"/>
            <w:tcMar>
              <w:left w:w="108" w:type="dxa"/>
              <w:right w:w="108" w:type="dxa"/>
            </w:tcMar>
            <w:vAlign w:val="center"/>
          </w:tcPr>
          <w:p>
            <w:pPr>
              <w:widowControl/>
              <w:spacing w:line="320" w:lineRule="exact"/>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法人或其他组织</w:t>
            </w:r>
          </w:p>
        </w:tc>
        <w:tc>
          <w:tcPr>
            <w:tcW w:w="487" w:type="dxa"/>
            <w:vMerge w:val="restart"/>
            <w:shd w:val="clear" w:color="auto" w:fill="auto"/>
            <w:tcMar>
              <w:left w:w="108" w:type="dxa"/>
              <w:right w:w="108" w:type="dxa"/>
            </w:tcMar>
            <w:vAlign w:val="center"/>
          </w:tcPr>
          <w:p>
            <w:pPr>
              <w:widowControl/>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4635" w:type="dxa"/>
            <w:gridSpan w:val="3"/>
            <w:vMerge w:val="continue"/>
            <w:shd w:val="clear" w:color="auto" w:fill="auto"/>
            <w:tcMar>
              <w:left w:w="108" w:type="dxa"/>
              <w:right w:w="108" w:type="dxa"/>
            </w:tcMar>
            <w:vAlign w:val="center"/>
          </w:tcPr>
          <w:p>
            <w:pPr>
              <w:jc w:val="center"/>
              <w:rPr>
                <w:rFonts w:ascii="仿宋_GB2312" w:hAnsi="Times New Roman" w:eastAsia="仿宋_GB2312"/>
                <w:color w:val="000000" w:themeColor="text1"/>
                <w:szCs w:val="21"/>
                <w14:textFill>
                  <w14:solidFill>
                    <w14:schemeClr w14:val="tx1"/>
                  </w14:solidFill>
                </w14:textFill>
              </w:rPr>
            </w:pPr>
          </w:p>
        </w:tc>
        <w:tc>
          <w:tcPr>
            <w:tcW w:w="609" w:type="dxa"/>
            <w:vMerge w:val="continue"/>
            <w:shd w:val="clear" w:color="auto" w:fill="auto"/>
            <w:tcMar>
              <w:left w:w="108" w:type="dxa"/>
              <w:right w:w="108" w:type="dxa"/>
            </w:tcMar>
            <w:vAlign w:val="center"/>
          </w:tcPr>
          <w:p>
            <w:pPr>
              <w:jc w:val="center"/>
              <w:rPr>
                <w:rFonts w:ascii="黑体" w:hAnsi="黑体" w:eastAsia="黑体"/>
                <w:color w:val="000000" w:themeColor="text1"/>
                <w:szCs w:val="21"/>
                <w14:textFill>
                  <w14:solidFill>
                    <w14:schemeClr w14:val="tx1"/>
                  </w14:solidFill>
                </w14:textFill>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法律服务机构</w:t>
            </w:r>
          </w:p>
        </w:tc>
        <w:tc>
          <w:tcPr>
            <w:tcW w:w="466"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其他</w:t>
            </w:r>
          </w:p>
        </w:tc>
        <w:tc>
          <w:tcPr>
            <w:tcW w:w="487" w:type="dxa"/>
            <w:vMerge w:val="continue"/>
            <w:shd w:val="clear" w:color="auto" w:fill="auto"/>
            <w:tcMar>
              <w:left w:w="108" w:type="dxa"/>
              <w:right w:w="108" w:type="dxa"/>
            </w:tcMar>
            <w:vAlign w:val="center"/>
          </w:tcPr>
          <w:p>
            <w:pPr>
              <w:jc w:val="center"/>
              <w:rPr>
                <w:rFonts w:ascii="仿宋_GB2312"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4635" w:type="dxa"/>
            <w:gridSpan w:val="3"/>
            <w:shd w:val="clear" w:color="auto" w:fill="auto"/>
            <w:tcMar>
              <w:left w:w="108" w:type="dxa"/>
              <w:right w:w="108" w:type="dxa"/>
            </w:tcMar>
            <w:vAlign w:val="center"/>
          </w:tcPr>
          <w:p>
            <w:pPr>
              <w:widowControl/>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一、</w:t>
            </w:r>
            <w:bookmarkStart w:id="1" w:name="_Hlk66973412"/>
            <w:r>
              <w:rPr>
                <w:rFonts w:hint="eastAsia" w:ascii="黑体" w:hAnsi="黑体" w:eastAsia="黑体"/>
                <w:color w:val="000000" w:themeColor="text1"/>
                <w:kern w:val="0"/>
                <w:szCs w:val="21"/>
                <w14:textFill>
                  <w14:solidFill>
                    <w14:schemeClr w14:val="tx1"/>
                  </w14:solidFill>
                </w14:textFill>
              </w:rPr>
              <w:t>本年新收政府信息公开申请数量</w:t>
            </w:r>
            <w:bookmarkEnd w:id="1"/>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1</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4635" w:type="dxa"/>
            <w:gridSpan w:val="3"/>
            <w:shd w:val="clear" w:color="auto" w:fill="auto"/>
            <w:tcMar>
              <w:left w:w="108" w:type="dxa"/>
              <w:right w:w="108" w:type="dxa"/>
            </w:tcMar>
            <w:vAlign w:val="center"/>
          </w:tcPr>
          <w:p>
            <w:pPr>
              <w:widowControl/>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二、上年结转政府信息公开申请数量</w:t>
            </w:r>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63" w:type="dxa"/>
            <w:vMerge w:val="restart"/>
            <w:shd w:val="clear" w:color="auto" w:fill="auto"/>
            <w:tcMar>
              <w:left w:w="108" w:type="dxa"/>
              <w:right w:w="108" w:type="dxa"/>
            </w:tcMar>
            <w:vAlign w:val="center"/>
          </w:tcPr>
          <w:p>
            <w:pPr>
              <w:widowControl/>
              <w:spacing w:after="18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三、本年度办理结果</w:t>
            </w:r>
          </w:p>
        </w:tc>
        <w:tc>
          <w:tcPr>
            <w:tcW w:w="4072" w:type="dxa"/>
            <w:gridSpan w:val="2"/>
            <w:shd w:val="clear" w:color="auto" w:fill="auto"/>
            <w:tcMar>
              <w:left w:w="108" w:type="dxa"/>
              <w:right w:w="108" w:type="dxa"/>
            </w:tcMar>
            <w:vAlign w:val="center"/>
          </w:tcPr>
          <w:p>
            <w:pPr>
              <w:widowControl/>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（一）予以公开</w:t>
            </w:r>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ascii="仿宋_GB2312" w:hAnsi="Times New Roman" w:eastAsia="仿宋_GB2312"/>
                <w:color w:val="000000" w:themeColor="text1"/>
                <w:szCs w:val="21"/>
                <w14:textFill>
                  <w14:solidFill>
                    <w14:schemeClr w14:val="tx1"/>
                  </w14:solidFill>
                </w14:textFill>
              </w:rPr>
              <w:t>1</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ascii="仿宋_GB2312" w:hAnsi="Times New Roman" w:eastAsia="仿宋_GB2312"/>
                <w:color w:val="000000" w:themeColor="text1"/>
                <w:szCs w:val="21"/>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63"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4072" w:type="dxa"/>
            <w:gridSpan w:val="2"/>
            <w:shd w:val="clear" w:color="auto" w:fill="auto"/>
            <w:tcMar>
              <w:left w:w="108" w:type="dxa"/>
              <w:right w:w="108" w:type="dxa"/>
            </w:tcMar>
            <w:vAlign w:val="center"/>
          </w:tcPr>
          <w:p>
            <w:pPr>
              <w:widowControl/>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（二）部分公开（</w:t>
            </w:r>
            <w:bookmarkStart w:id="2" w:name="_Hlk66973981"/>
            <w:r>
              <w:rPr>
                <w:rFonts w:hint="eastAsia" w:ascii="黑体" w:hAnsi="黑体" w:eastAsia="黑体"/>
                <w:color w:val="000000" w:themeColor="text1"/>
                <w:kern w:val="0"/>
                <w:szCs w:val="21"/>
                <w14:textFill>
                  <w14:solidFill>
                    <w14:schemeClr w14:val="tx1"/>
                  </w14:solidFill>
                </w14:textFill>
              </w:rPr>
              <w:t>区分处理的，只计这一情形，不计其他情形</w:t>
            </w:r>
            <w:bookmarkEnd w:id="2"/>
            <w:r>
              <w:rPr>
                <w:rFonts w:hint="eastAsia" w:ascii="黑体" w:hAnsi="黑体" w:eastAsia="黑体"/>
                <w:color w:val="000000" w:themeColor="text1"/>
                <w:kern w:val="0"/>
                <w:szCs w:val="21"/>
                <w14:textFill>
                  <w14:solidFill>
                    <w14:schemeClr w14:val="tx1"/>
                  </w14:solidFill>
                </w14:textFill>
              </w:rPr>
              <w:t>）</w:t>
            </w:r>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3"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514"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（三）不予公开</w:t>
            </w:r>
          </w:p>
        </w:tc>
        <w:tc>
          <w:tcPr>
            <w:tcW w:w="2558"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1.属于国家秘密</w:t>
            </w:r>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3"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514" w:type="dxa"/>
            <w:vMerge w:val="continue"/>
            <w:shd w:val="clear" w:color="auto" w:fill="auto"/>
            <w:tcMar>
              <w:left w:w="108" w:type="dxa"/>
              <w:right w:w="108" w:type="dxa"/>
            </w:tcMar>
            <w:vAlign w:val="center"/>
          </w:tcPr>
          <w:p>
            <w:pPr>
              <w:spacing w:line="200" w:lineRule="exact"/>
              <w:rPr>
                <w:rFonts w:ascii="黑体" w:hAnsi="黑体" w:eastAsia="黑体"/>
                <w:color w:val="000000" w:themeColor="text1"/>
                <w:szCs w:val="21"/>
                <w14:textFill>
                  <w14:solidFill>
                    <w14:schemeClr w14:val="tx1"/>
                  </w14:solidFill>
                </w14:textFill>
              </w:rPr>
            </w:pPr>
          </w:p>
        </w:tc>
        <w:tc>
          <w:tcPr>
            <w:tcW w:w="2558"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2.</w:t>
            </w:r>
            <w:bookmarkStart w:id="3" w:name="_Hlk66974104"/>
            <w:r>
              <w:rPr>
                <w:rFonts w:hint="eastAsia" w:ascii="仿宋_GB2312" w:hAnsi="黑体" w:eastAsia="仿宋_GB2312"/>
                <w:color w:val="000000" w:themeColor="text1"/>
                <w:kern w:val="0"/>
                <w:szCs w:val="21"/>
                <w14:textFill>
                  <w14:solidFill>
                    <w14:schemeClr w14:val="tx1"/>
                  </w14:solidFill>
                </w14:textFill>
              </w:rPr>
              <w:t>其他法律行政法规禁止公开</w:t>
            </w:r>
            <w:bookmarkEnd w:id="3"/>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3"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514" w:type="dxa"/>
            <w:vMerge w:val="continue"/>
            <w:shd w:val="clear" w:color="auto" w:fill="auto"/>
            <w:tcMar>
              <w:left w:w="108" w:type="dxa"/>
              <w:right w:w="108" w:type="dxa"/>
            </w:tcMar>
            <w:vAlign w:val="center"/>
          </w:tcPr>
          <w:p>
            <w:pPr>
              <w:spacing w:line="200" w:lineRule="exact"/>
              <w:rPr>
                <w:rFonts w:ascii="黑体" w:hAnsi="黑体" w:eastAsia="黑体"/>
                <w:color w:val="000000" w:themeColor="text1"/>
                <w:szCs w:val="21"/>
                <w14:textFill>
                  <w14:solidFill>
                    <w14:schemeClr w14:val="tx1"/>
                  </w14:solidFill>
                </w14:textFill>
              </w:rPr>
            </w:pPr>
          </w:p>
        </w:tc>
        <w:tc>
          <w:tcPr>
            <w:tcW w:w="2558"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3.危及“三安全一稳定”</w:t>
            </w:r>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3"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514" w:type="dxa"/>
            <w:vMerge w:val="continue"/>
            <w:shd w:val="clear" w:color="auto" w:fill="auto"/>
            <w:tcMar>
              <w:left w:w="108" w:type="dxa"/>
              <w:right w:w="108" w:type="dxa"/>
            </w:tcMar>
            <w:vAlign w:val="center"/>
          </w:tcPr>
          <w:p>
            <w:pPr>
              <w:spacing w:line="200" w:lineRule="exact"/>
              <w:rPr>
                <w:rFonts w:ascii="黑体" w:hAnsi="黑体" w:eastAsia="黑体"/>
                <w:color w:val="000000" w:themeColor="text1"/>
                <w:szCs w:val="21"/>
                <w14:textFill>
                  <w14:solidFill>
                    <w14:schemeClr w14:val="tx1"/>
                  </w14:solidFill>
                </w14:textFill>
              </w:rPr>
            </w:pPr>
          </w:p>
        </w:tc>
        <w:tc>
          <w:tcPr>
            <w:tcW w:w="2558"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4.</w:t>
            </w:r>
            <w:bookmarkStart w:id="4" w:name="_Hlk66974290"/>
            <w:r>
              <w:rPr>
                <w:rFonts w:hint="eastAsia" w:ascii="仿宋_GB2312" w:hAnsi="黑体" w:eastAsia="仿宋_GB2312"/>
                <w:color w:val="000000" w:themeColor="text1"/>
                <w:kern w:val="0"/>
                <w:szCs w:val="21"/>
                <w14:textFill>
                  <w14:solidFill>
                    <w14:schemeClr w14:val="tx1"/>
                  </w14:solidFill>
                </w14:textFill>
              </w:rPr>
              <w:t>保护第三方合法权益</w:t>
            </w:r>
            <w:bookmarkEnd w:id="4"/>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3"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514" w:type="dxa"/>
            <w:vMerge w:val="continue"/>
            <w:shd w:val="clear" w:color="auto" w:fill="auto"/>
            <w:tcMar>
              <w:left w:w="108" w:type="dxa"/>
              <w:right w:w="108" w:type="dxa"/>
            </w:tcMar>
            <w:vAlign w:val="center"/>
          </w:tcPr>
          <w:p>
            <w:pPr>
              <w:spacing w:line="200" w:lineRule="exact"/>
              <w:rPr>
                <w:rFonts w:ascii="黑体" w:hAnsi="黑体" w:eastAsia="黑体"/>
                <w:color w:val="000000" w:themeColor="text1"/>
                <w:szCs w:val="21"/>
                <w14:textFill>
                  <w14:solidFill>
                    <w14:schemeClr w14:val="tx1"/>
                  </w14:solidFill>
                </w14:textFill>
              </w:rPr>
            </w:pPr>
          </w:p>
        </w:tc>
        <w:tc>
          <w:tcPr>
            <w:tcW w:w="2558"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5.属于三类内部事务信息</w:t>
            </w:r>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3"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514" w:type="dxa"/>
            <w:vMerge w:val="continue"/>
            <w:shd w:val="clear" w:color="auto" w:fill="auto"/>
            <w:tcMar>
              <w:left w:w="108" w:type="dxa"/>
              <w:right w:w="108" w:type="dxa"/>
            </w:tcMar>
            <w:vAlign w:val="center"/>
          </w:tcPr>
          <w:p>
            <w:pPr>
              <w:spacing w:line="200" w:lineRule="exact"/>
              <w:rPr>
                <w:rFonts w:ascii="黑体" w:hAnsi="黑体" w:eastAsia="黑体"/>
                <w:color w:val="000000" w:themeColor="text1"/>
                <w:szCs w:val="21"/>
                <w14:textFill>
                  <w14:solidFill>
                    <w14:schemeClr w14:val="tx1"/>
                  </w14:solidFill>
                </w14:textFill>
              </w:rPr>
            </w:pPr>
          </w:p>
        </w:tc>
        <w:tc>
          <w:tcPr>
            <w:tcW w:w="2558"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6.</w:t>
            </w:r>
            <w:bookmarkStart w:id="5" w:name="_Hlk66974555"/>
            <w:r>
              <w:rPr>
                <w:rFonts w:hint="eastAsia" w:ascii="仿宋_GB2312" w:hAnsi="黑体" w:eastAsia="仿宋_GB2312"/>
                <w:color w:val="000000" w:themeColor="text1"/>
                <w:kern w:val="0"/>
                <w:szCs w:val="21"/>
                <w14:textFill>
                  <w14:solidFill>
                    <w14:schemeClr w14:val="tx1"/>
                  </w14:solidFill>
                </w14:textFill>
              </w:rPr>
              <w:t>属于四类过程性信息</w:t>
            </w:r>
            <w:bookmarkEnd w:id="5"/>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3"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514" w:type="dxa"/>
            <w:vMerge w:val="continue"/>
            <w:shd w:val="clear" w:color="auto" w:fill="auto"/>
            <w:tcMar>
              <w:left w:w="108" w:type="dxa"/>
              <w:right w:w="108" w:type="dxa"/>
            </w:tcMar>
            <w:vAlign w:val="center"/>
          </w:tcPr>
          <w:p>
            <w:pPr>
              <w:spacing w:line="200" w:lineRule="exact"/>
              <w:rPr>
                <w:rFonts w:ascii="黑体" w:hAnsi="黑体" w:eastAsia="黑体"/>
                <w:color w:val="000000" w:themeColor="text1"/>
                <w:szCs w:val="21"/>
                <w14:textFill>
                  <w14:solidFill>
                    <w14:schemeClr w14:val="tx1"/>
                  </w14:solidFill>
                </w14:textFill>
              </w:rPr>
            </w:pPr>
          </w:p>
        </w:tc>
        <w:tc>
          <w:tcPr>
            <w:tcW w:w="2558"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7.属于行政执法案卷</w:t>
            </w:r>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3"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514" w:type="dxa"/>
            <w:vMerge w:val="continue"/>
            <w:shd w:val="clear" w:color="auto" w:fill="auto"/>
            <w:tcMar>
              <w:left w:w="108" w:type="dxa"/>
              <w:right w:w="108" w:type="dxa"/>
            </w:tcMar>
            <w:vAlign w:val="center"/>
          </w:tcPr>
          <w:p>
            <w:pPr>
              <w:spacing w:line="200" w:lineRule="exact"/>
              <w:rPr>
                <w:rFonts w:ascii="黑体" w:hAnsi="黑体" w:eastAsia="黑体"/>
                <w:color w:val="000000" w:themeColor="text1"/>
                <w:szCs w:val="21"/>
                <w14:textFill>
                  <w14:solidFill>
                    <w14:schemeClr w14:val="tx1"/>
                  </w14:solidFill>
                </w14:textFill>
              </w:rPr>
            </w:pPr>
          </w:p>
        </w:tc>
        <w:tc>
          <w:tcPr>
            <w:tcW w:w="2558"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8.</w:t>
            </w:r>
            <w:bookmarkStart w:id="6" w:name="_Hlk66975211"/>
            <w:r>
              <w:rPr>
                <w:rFonts w:hint="eastAsia" w:ascii="仿宋_GB2312" w:hAnsi="黑体" w:eastAsia="仿宋_GB2312"/>
                <w:color w:val="000000" w:themeColor="text1"/>
                <w:kern w:val="0"/>
                <w:szCs w:val="21"/>
                <w14:textFill>
                  <w14:solidFill>
                    <w14:schemeClr w14:val="tx1"/>
                  </w14:solidFill>
                </w14:textFill>
              </w:rPr>
              <w:t>属于行政查询事项</w:t>
            </w:r>
            <w:bookmarkEnd w:id="6"/>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3"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514"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（四）无法提供</w:t>
            </w:r>
          </w:p>
        </w:tc>
        <w:tc>
          <w:tcPr>
            <w:tcW w:w="2558"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1.本机关不掌握相关政府信息</w:t>
            </w:r>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3"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514"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000000" w:themeColor="text1"/>
                <w:szCs w:val="21"/>
                <w14:textFill>
                  <w14:solidFill>
                    <w14:schemeClr w14:val="tx1"/>
                  </w14:solidFill>
                </w14:textFill>
              </w:rPr>
            </w:pPr>
          </w:p>
        </w:tc>
        <w:tc>
          <w:tcPr>
            <w:tcW w:w="2558"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2.</w:t>
            </w:r>
            <w:bookmarkStart w:id="7" w:name="_Hlk66975392"/>
            <w:r>
              <w:rPr>
                <w:rFonts w:hint="eastAsia" w:ascii="仿宋_GB2312" w:hAnsi="黑体" w:eastAsia="仿宋_GB2312"/>
                <w:color w:val="000000" w:themeColor="text1"/>
                <w:kern w:val="0"/>
                <w:szCs w:val="21"/>
                <w14:textFill>
                  <w14:solidFill>
                    <w14:schemeClr w14:val="tx1"/>
                  </w14:solidFill>
                </w14:textFill>
              </w:rPr>
              <w:t>没有现成信息需要另行制作</w:t>
            </w:r>
            <w:bookmarkEnd w:id="7"/>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3"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514"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000000" w:themeColor="text1"/>
                <w:szCs w:val="21"/>
                <w14:textFill>
                  <w14:solidFill>
                    <w14:schemeClr w14:val="tx1"/>
                  </w14:solidFill>
                </w14:textFill>
              </w:rPr>
            </w:pPr>
          </w:p>
        </w:tc>
        <w:tc>
          <w:tcPr>
            <w:tcW w:w="2558"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3.</w:t>
            </w:r>
            <w:bookmarkStart w:id="8" w:name="_Hlk66975466"/>
            <w:r>
              <w:rPr>
                <w:rFonts w:hint="eastAsia" w:ascii="仿宋_GB2312" w:hAnsi="黑体" w:eastAsia="仿宋_GB2312"/>
                <w:color w:val="000000" w:themeColor="text1"/>
                <w:kern w:val="0"/>
                <w:szCs w:val="21"/>
                <w14:textFill>
                  <w14:solidFill>
                    <w14:schemeClr w14:val="tx1"/>
                  </w14:solidFill>
                </w14:textFill>
              </w:rPr>
              <w:t>补正后申请内容仍不明确</w:t>
            </w:r>
            <w:bookmarkEnd w:id="8"/>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3"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514"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（五）不予处理</w:t>
            </w:r>
          </w:p>
        </w:tc>
        <w:tc>
          <w:tcPr>
            <w:tcW w:w="2558"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1.</w:t>
            </w:r>
            <w:bookmarkStart w:id="9" w:name="_Hlk66975537"/>
            <w:r>
              <w:rPr>
                <w:rFonts w:hint="eastAsia" w:ascii="仿宋_GB2312" w:hAnsi="黑体" w:eastAsia="仿宋_GB2312"/>
                <w:color w:val="000000" w:themeColor="text1"/>
                <w:kern w:val="0"/>
                <w:szCs w:val="21"/>
                <w14:textFill>
                  <w14:solidFill>
                    <w14:schemeClr w14:val="tx1"/>
                  </w14:solidFill>
                </w14:textFill>
              </w:rPr>
              <w:t>信访举报投诉类申请</w:t>
            </w:r>
            <w:bookmarkEnd w:id="9"/>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3"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514" w:type="dxa"/>
            <w:vMerge w:val="continue"/>
            <w:shd w:val="clear" w:color="auto" w:fill="auto"/>
            <w:tcMar>
              <w:left w:w="108" w:type="dxa"/>
              <w:right w:w="108" w:type="dxa"/>
            </w:tcMar>
            <w:vAlign w:val="center"/>
          </w:tcPr>
          <w:p>
            <w:pPr>
              <w:spacing w:line="200" w:lineRule="exact"/>
              <w:rPr>
                <w:rFonts w:ascii="黑体" w:hAnsi="黑体" w:eastAsia="黑体"/>
                <w:color w:val="000000" w:themeColor="text1"/>
                <w:szCs w:val="21"/>
                <w14:textFill>
                  <w14:solidFill>
                    <w14:schemeClr w14:val="tx1"/>
                  </w14:solidFill>
                </w14:textFill>
              </w:rPr>
            </w:pPr>
          </w:p>
        </w:tc>
        <w:tc>
          <w:tcPr>
            <w:tcW w:w="2558"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2.重复申请</w:t>
            </w:r>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63"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514" w:type="dxa"/>
            <w:vMerge w:val="continue"/>
            <w:shd w:val="clear" w:color="auto" w:fill="auto"/>
            <w:tcMar>
              <w:left w:w="108" w:type="dxa"/>
              <w:right w:w="108" w:type="dxa"/>
            </w:tcMar>
            <w:vAlign w:val="center"/>
          </w:tcPr>
          <w:p>
            <w:pPr>
              <w:spacing w:line="200" w:lineRule="exact"/>
              <w:rPr>
                <w:rFonts w:ascii="黑体" w:hAnsi="黑体" w:eastAsia="黑体"/>
                <w:color w:val="000000" w:themeColor="text1"/>
                <w:szCs w:val="21"/>
                <w14:textFill>
                  <w14:solidFill>
                    <w14:schemeClr w14:val="tx1"/>
                  </w14:solidFill>
                </w14:textFill>
              </w:rPr>
            </w:pPr>
          </w:p>
        </w:tc>
        <w:tc>
          <w:tcPr>
            <w:tcW w:w="2558"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3.要求提供公开出版物</w:t>
            </w:r>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563"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514" w:type="dxa"/>
            <w:vMerge w:val="continue"/>
            <w:shd w:val="clear" w:color="auto" w:fill="auto"/>
            <w:tcMar>
              <w:left w:w="108" w:type="dxa"/>
              <w:right w:w="108" w:type="dxa"/>
            </w:tcMar>
            <w:vAlign w:val="center"/>
          </w:tcPr>
          <w:p>
            <w:pPr>
              <w:spacing w:line="200" w:lineRule="exact"/>
              <w:rPr>
                <w:rFonts w:ascii="黑体" w:hAnsi="黑体" w:eastAsia="黑体"/>
                <w:color w:val="000000" w:themeColor="text1"/>
                <w:szCs w:val="21"/>
                <w14:textFill>
                  <w14:solidFill>
                    <w14:schemeClr w14:val="tx1"/>
                  </w14:solidFill>
                </w14:textFill>
              </w:rPr>
            </w:pPr>
          </w:p>
        </w:tc>
        <w:tc>
          <w:tcPr>
            <w:tcW w:w="2558" w:type="dxa"/>
            <w:shd w:val="clear" w:color="auto" w:fill="auto"/>
            <w:tcMar>
              <w:left w:w="108" w:type="dxa"/>
              <w:right w:w="108" w:type="dxa"/>
            </w:tcMar>
            <w:vAlign w:val="center"/>
          </w:tcPr>
          <w:p>
            <w:pPr>
              <w:widowControl/>
              <w:spacing w:line="200" w:lineRule="exact"/>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4.无正当理由大量反复申请</w:t>
            </w:r>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63"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514" w:type="dxa"/>
            <w:vMerge w:val="continue"/>
            <w:shd w:val="clear" w:color="auto" w:fill="auto"/>
            <w:tcMar>
              <w:left w:w="108" w:type="dxa"/>
              <w:right w:w="108" w:type="dxa"/>
            </w:tcMar>
            <w:vAlign w:val="center"/>
          </w:tcPr>
          <w:p>
            <w:pPr>
              <w:spacing w:line="200" w:lineRule="exact"/>
              <w:rPr>
                <w:rFonts w:ascii="黑体" w:hAnsi="黑体" w:eastAsia="黑体"/>
                <w:color w:val="000000" w:themeColor="text1"/>
                <w:szCs w:val="21"/>
                <w14:textFill>
                  <w14:solidFill>
                    <w14:schemeClr w14:val="tx1"/>
                  </w14:solidFill>
                </w14:textFill>
              </w:rPr>
            </w:pPr>
          </w:p>
        </w:tc>
        <w:tc>
          <w:tcPr>
            <w:tcW w:w="2558" w:type="dxa"/>
            <w:shd w:val="clear" w:color="auto" w:fill="auto"/>
            <w:tcMar>
              <w:left w:w="108" w:type="dxa"/>
              <w:right w:w="108" w:type="dxa"/>
            </w:tcMar>
            <w:vAlign w:val="center"/>
          </w:tcPr>
          <w:p>
            <w:pPr>
              <w:widowControl/>
              <w:spacing w:line="3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5.要求行政机关确认或重新</w:t>
            </w:r>
          </w:p>
          <w:p>
            <w:pPr>
              <w:widowControl/>
              <w:spacing w:line="300" w:lineRule="exact"/>
              <w:ind w:firstLine="210" w:firstLineChars="100"/>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出具已获取信息</w:t>
            </w:r>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63"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514" w:type="dxa"/>
            <w:vMerge w:val="restart"/>
            <w:shd w:val="clear" w:color="auto" w:fill="auto"/>
            <w:tcMar>
              <w:left w:w="108" w:type="dxa"/>
              <w:right w:w="108" w:type="dxa"/>
            </w:tcMar>
            <w:vAlign w:val="center"/>
          </w:tcPr>
          <w:p>
            <w:pPr>
              <w:widowControl/>
              <w:spacing w:line="300" w:lineRule="exact"/>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（六）其他处理</w:t>
            </w:r>
          </w:p>
        </w:tc>
        <w:tc>
          <w:tcPr>
            <w:tcW w:w="2558" w:type="dxa"/>
            <w:shd w:val="clear" w:color="auto" w:fill="auto"/>
            <w:vAlign w:val="center"/>
          </w:tcPr>
          <w:p>
            <w:pPr>
              <w:widowControl/>
              <w:spacing w:line="300" w:lineRule="exact"/>
              <w:rPr>
                <w:rFonts w:ascii="仿宋_GB2312" w:hAnsi="楷体" w:eastAsia="仿宋_GB2312"/>
                <w:color w:val="000000" w:themeColor="text1"/>
                <w14:textFill>
                  <w14:solidFill>
                    <w14:schemeClr w14:val="tx1"/>
                  </w14:solidFill>
                </w14:textFill>
              </w:rPr>
            </w:pPr>
            <w:r>
              <w:rPr>
                <w:rFonts w:hint="eastAsia" w:ascii="仿宋_GB2312" w:hAnsi="楷体" w:eastAsia="仿宋_GB2312"/>
                <w:color w:val="000000" w:themeColor="text1"/>
                <w14:textFill>
                  <w14:solidFill>
                    <w14:schemeClr w14:val="tx1"/>
                  </w14:solidFill>
                </w14:textFill>
              </w:rPr>
              <w:t>1.申请人无正当理由逾期不补正、行政机关不再处理其政府信息公开申请</w:t>
            </w:r>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63"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514" w:type="dxa"/>
            <w:vMerge w:val="continue"/>
            <w:shd w:val="clear" w:color="auto" w:fill="auto"/>
            <w:tcMar>
              <w:left w:w="108" w:type="dxa"/>
              <w:right w:w="108" w:type="dxa"/>
            </w:tcMar>
            <w:vAlign w:val="center"/>
          </w:tcPr>
          <w:p>
            <w:pPr>
              <w:widowControl/>
              <w:spacing w:line="300" w:lineRule="exact"/>
              <w:rPr>
                <w:rFonts w:ascii="黑体" w:hAnsi="黑体" w:eastAsia="黑体"/>
                <w:color w:val="000000" w:themeColor="text1"/>
                <w:kern w:val="0"/>
                <w:szCs w:val="21"/>
                <w14:textFill>
                  <w14:solidFill>
                    <w14:schemeClr w14:val="tx1"/>
                  </w14:solidFill>
                </w14:textFill>
              </w:rPr>
            </w:pPr>
          </w:p>
        </w:tc>
        <w:tc>
          <w:tcPr>
            <w:tcW w:w="2558" w:type="dxa"/>
            <w:shd w:val="clear" w:color="auto" w:fill="auto"/>
            <w:vAlign w:val="center"/>
          </w:tcPr>
          <w:p>
            <w:pPr>
              <w:widowControl/>
              <w:spacing w:line="3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楷体" w:eastAsia="仿宋_GB2312"/>
                <w:color w:val="000000" w:themeColor="text1"/>
                <w14:textFill>
                  <w14:solidFill>
                    <w14:schemeClr w14:val="tx1"/>
                  </w14:solidFill>
                </w14:textFill>
              </w:rPr>
              <w:t>2.申请人逾期未按收费通知要求缴纳费用、行政机关不再处理其政府信息公开申请</w:t>
            </w:r>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63"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1514" w:type="dxa"/>
            <w:vMerge w:val="continue"/>
            <w:shd w:val="clear" w:color="auto" w:fill="auto"/>
            <w:tcMar>
              <w:left w:w="108" w:type="dxa"/>
              <w:right w:w="108" w:type="dxa"/>
            </w:tcMar>
            <w:vAlign w:val="center"/>
          </w:tcPr>
          <w:p>
            <w:pPr>
              <w:widowControl/>
              <w:spacing w:line="300" w:lineRule="exact"/>
              <w:rPr>
                <w:rFonts w:ascii="黑体" w:hAnsi="黑体" w:eastAsia="黑体"/>
                <w:color w:val="000000" w:themeColor="text1"/>
                <w:kern w:val="0"/>
                <w:szCs w:val="21"/>
                <w14:textFill>
                  <w14:solidFill>
                    <w14:schemeClr w14:val="tx1"/>
                  </w14:solidFill>
                </w14:textFill>
              </w:rPr>
            </w:pPr>
          </w:p>
        </w:tc>
        <w:tc>
          <w:tcPr>
            <w:tcW w:w="2558" w:type="dxa"/>
            <w:shd w:val="clear" w:color="auto" w:fill="auto"/>
            <w:vAlign w:val="center"/>
          </w:tcPr>
          <w:p>
            <w:pPr>
              <w:widowControl/>
              <w:spacing w:line="300" w:lineRule="exact"/>
              <w:rPr>
                <w:rFonts w:ascii="仿宋_GB2312" w:hAnsi="黑体" w:eastAsia="仿宋_GB2312"/>
                <w:color w:val="000000" w:themeColor="text1"/>
                <w:kern w:val="0"/>
                <w:szCs w:val="21"/>
                <w14:textFill>
                  <w14:solidFill>
                    <w14:schemeClr w14:val="tx1"/>
                  </w14:solidFill>
                </w14:textFill>
              </w:rPr>
            </w:pPr>
            <w:r>
              <w:rPr>
                <w:rFonts w:hint="eastAsia" w:ascii="仿宋_GB2312" w:hAnsi="楷体" w:eastAsia="仿宋_GB2312"/>
                <w:color w:val="000000" w:themeColor="text1"/>
                <w14:textFill>
                  <w14:solidFill>
                    <w14:schemeClr w14:val="tx1"/>
                  </w14:solidFill>
                </w14:textFill>
              </w:rPr>
              <w:t>3.其他</w:t>
            </w:r>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63" w:type="dxa"/>
            <w:vMerge w:val="continue"/>
            <w:shd w:val="clear" w:color="auto" w:fill="auto"/>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4072" w:type="dxa"/>
            <w:gridSpan w:val="2"/>
            <w:shd w:val="clear" w:color="auto" w:fill="auto"/>
            <w:tcMar>
              <w:left w:w="108" w:type="dxa"/>
              <w:right w:w="108" w:type="dxa"/>
            </w:tcMar>
            <w:vAlign w:val="center"/>
          </w:tcPr>
          <w:p>
            <w:pPr>
              <w:widowControl/>
              <w:spacing w:line="300" w:lineRule="exact"/>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（七）总计</w:t>
            </w:r>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1</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35" w:type="dxa"/>
            <w:gridSpan w:val="3"/>
            <w:shd w:val="clear" w:color="auto" w:fill="auto"/>
            <w:tcMar>
              <w:left w:w="108" w:type="dxa"/>
              <w:right w:w="108" w:type="dxa"/>
            </w:tcMar>
            <w:vAlign w:val="center"/>
          </w:tcPr>
          <w:p>
            <w:pPr>
              <w:widowControl/>
              <w:spacing w:line="300" w:lineRule="exact"/>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四、结转下年度继续办理</w:t>
            </w:r>
          </w:p>
        </w:tc>
        <w:tc>
          <w:tcPr>
            <w:tcW w:w="609"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66"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7" w:type="dxa"/>
            <w:shd w:val="clear" w:color="auto" w:fill="auto"/>
            <w:tcMar>
              <w:left w:w="108" w:type="dxa"/>
              <w:right w:w="108" w:type="dxa"/>
            </w:tcMar>
            <w:vAlign w:val="center"/>
          </w:tcPr>
          <w:p>
            <w:pPr>
              <w:widowControl/>
              <w:spacing w:after="180"/>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bl>
    <w:p>
      <w:pPr>
        <w:pStyle w:val="3"/>
        <w:spacing w:before="0" w:after="0" w:line="560" w:lineRule="exact"/>
        <w:ind w:firstLine="640" w:firstLineChars="200"/>
        <w:rPr>
          <w:rFonts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14:textFill>
            <w14:solidFill>
              <w14:schemeClr w14:val="tx1"/>
            </w14:solidFill>
          </w14:textFill>
        </w:rPr>
        <w:t>四、因政府信息公开工作被申请行政复议、提起行政诉讼情况</w:t>
      </w:r>
    </w:p>
    <w:tbl>
      <w:tblPr>
        <w:tblStyle w:val="7"/>
        <w:tblW w:w="8807"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00"/>
        <w:gridCol w:w="629"/>
        <w:gridCol w:w="629"/>
        <w:gridCol w:w="757"/>
        <w:gridCol w:w="471"/>
        <w:gridCol w:w="543"/>
        <w:gridCol w:w="614"/>
        <w:gridCol w:w="557"/>
        <w:gridCol w:w="558"/>
        <w:gridCol w:w="471"/>
        <w:gridCol w:w="543"/>
        <w:gridCol w:w="600"/>
        <w:gridCol w:w="614"/>
        <w:gridCol w:w="586"/>
        <w:gridCol w:w="5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7" w:hRule="atLeast"/>
          <w:jc w:val="center"/>
        </w:trPr>
        <w:tc>
          <w:tcPr>
            <w:tcW w:w="3186"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行政复议</w:t>
            </w:r>
          </w:p>
        </w:tc>
        <w:tc>
          <w:tcPr>
            <w:tcW w:w="5621"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70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ind w:left="-149" w:leftChars="-71" w:right="-170" w:rightChars="-81"/>
              <w:jc w:val="center"/>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w:t>
            </w:r>
          </w:p>
          <w:p>
            <w:pPr>
              <w:widowControl/>
              <w:spacing w:line="400" w:lineRule="exact"/>
              <w:ind w:left="-149" w:leftChars="-71" w:right="-170" w:rightChars="-81"/>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维持</w:t>
            </w:r>
          </w:p>
        </w:tc>
        <w:tc>
          <w:tcPr>
            <w:tcW w:w="62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ind w:left="-43" w:leftChars="-21" w:right="-132" w:rightChars="-63" w:hanging="1"/>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结果纠正</w:t>
            </w:r>
          </w:p>
        </w:tc>
        <w:tc>
          <w:tcPr>
            <w:tcW w:w="62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ind w:left="-82" w:leftChars="-39" w:right="-97" w:rightChars="-46"/>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其他结果</w:t>
            </w:r>
          </w:p>
        </w:tc>
        <w:tc>
          <w:tcPr>
            <w:tcW w:w="75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ind w:left="-118" w:leftChars="-56" w:right="-118" w:rightChars="-56"/>
              <w:jc w:val="center"/>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尚未</w:t>
            </w:r>
          </w:p>
          <w:p>
            <w:pPr>
              <w:widowControl/>
              <w:spacing w:line="400" w:lineRule="exact"/>
              <w:ind w:left="-118" w:leftChars="-56" w:right="-118" w:rightChars="-56"/>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审结</w:t>
            </w:r>
          </w:p>
        </w:tc>
        <w:tc>
          <w:tcPr>
            <w:tcW w:w="471"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总</w:t>
            </w:r>
          </w:p>
          <w:p>
            <w:pPr>
              <w:widowControl/>
              <w:spacing w:line="400" w:lineRule="exact"/>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计</w:t>
            </w:r>
          </w:p>
        </w:tc>
        <w:tc>
          <w:tcPr>
            <w:tcW w:w="274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未经复议直接起诉</w:t>
            </w:r>
          </w:p>
        </w:tc>
        <w:tc>
          <w:tcPr>
            <w:tcW w:w="287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6" w:hRule="atLeast"/>
          <w:jc w:val="center"/>
        </w:trPr>
        <w:tc>
          <w:tcPr>
            <w:tcW w:w="7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rPr>
                <w:rFonts w:ascii="黑体" w:hAnsi="黑体" w:eastAsia="黑体"/>
                <w:color w:val="000000" w:themeColor="text1"/>
                <w:sz w:val="24"/>
                <w14:textFill>
                  <w14:solidFill>
                    <w14:schemeClr w14:val="tx1"/>
                  </w14:solidFill>
                </w14:textFill>
              </w:rPr>
            </w:pPr>
          </w:p>
        </w:tc>
        <w:tc>
          <w:tcPr>
            <w:tcW w:w="62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rPr>
                <w:rFonts w:ascii="黑体" w:hAnsi="黑体" w:eastAsia="黑体"/>
                <w:color w:val="000000" w:themeColor="text1"/>
                <w:sz w:val="24"/>
                <w14:textFill>
                  <w14:solidFill>
                    <w14:schemeClr w14:val="tx1"/>
                  </w14:solidFill>
                </w14:textFill>
              </w:rPr>
            </w:pPr>
          </w:p>
        </w:tc>
        <w:tc>
          <w:tcPr>
            <w:tcW w:w="62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rPr>
                <w:rFonts w:ascii="黑体" w:hAnsi="黑体" w:eastAsia="黑体"/>
                <w:color w:val="000000" w:themeColor="text1"/>
                <w:sz w:val="24"/>
                <w14:textFill>
                  <w14:solidFill>
                    <w14:schemeClr w14:val="tx1"/>
                  </w14:solidFill>
                </w14:textFill>
              </w:rPr>
            </w:pPr>
          </w:p>
        </w:tc>
        <w:tc>
          <w:tcPr>
            <w:tcW w:w="75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rPr>
                <w:rFonts w:ascii="黑体" w:hAnsi="黑体" w:eastAsia="黑体"/>
                <w:color w:val="000000" w:themeColor="text1"/>
                <w:sz w:val="24"/>
                <w14:textFill>
                  <w14:solidFill>
                    <w14:schemeClr w14:val="tx1"/>
                  </w14:solidFill>
                </w14:textFill>
              </w:rPr>
            </w:pPr>
          </w:p>
        </w:tc>
        <w:tc>
          <w:tcPr>
            <w:tcW w:w="471"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rPr>
                <w:rFonts w:ascii="黑体" w:hAnsi="黑体" w:eastAsia="黑体"/>
                <w:color w:val="000000" w:themeColor="text1"/>
                <w:sz w:val="24"/>
                <w14:textFill>
                  <w14:solidFill>
                    <w14:schemeClr w14:val="tx1"/>
                  </w14:solidFill>
                </w14:textFill>
              </w:rPr>
            </w:pPr>
          </w:p>
        </w:tc>
        <w:tc>
          <w:tcPr>
            <w:tcW w:w="54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ind w:left="-105" w:leftChars="-50" w:right="-126" w:rightChars="-60"/>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结果维持</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ind w:left="-86" w:leftChars="-41" w:right="-88" w:rightChars="-42"/>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结果纠正</w:t>
            </w:r>
          </w:p>
        </w:tc>
        <w:tc>
          <w:tcPr>
            <w:tcW w:w="55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ind w:left="-126" w:leftChars="-60" w:right="-136" w:rightChars="-65"/>
              <w:jc w:val="center"/>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其他</w:t>
            </w:r>
          </w:p>
          <w:p>
            <w:pPr>
              <w:widowControl/>
              <w:spacing w:line="400" w:lineRule="exact"/>
              <w:ind w:left="-126" w:leftChars="-60" w:right="-136" w:rightChars="-65"/>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w:t>
            </w:r>
          </w:p>
        </w:tc>
        <w:tc>
          <w:tcPr>
            <w:tcW w:w="55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ind w:left="-164" w:leftChars="-78" w:right="-153" w:rightChars="-73"/>
              <w:jc w:val="center"/>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尚未</w:t>
            </w:r>
          </w:p>
          <w:p>
            <w:pPr>
              <w:widowControl/>
              <w:spacing w:line="400" w:lineRule="exact"/>
              <w:ind w:left="-164" w:leftChars="-78" w:right="-153" w:rightChars="-73"/>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审结</w:t>
            </w:r>
          </w:p>
        </w:tc>
        <w:tc>
          <w:tcPr>
            <w:tcW w:w="4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总计</w:t>
            </w:r>
          </w:p>
        </w:tc>
        <w:tc>
          <w:tcPr>
            <w:tcW w:w="5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ind w:left="-99" w:leftChars="-47" w:right="-78" w:rightChars="-37"/>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结果维持</w:t>
            </w:r>
          </w:p>
        </w:tc>
        <w:tc>
          <w:tcPr>
            <w:tcW w:w="6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ind w:left="-136" w:leftChars="-65" w:right="-124" w:rightChars="-59"/>
              <w:jc w:val="center"/>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w:t>
            </w:r>
          </w:p>
          <w:p>
            <w:pPr>
              <w:widowControl/>
              <w:spacing w:line="400" w:lineRule="exact"/>
              <w:ind w:left="-136" w:leftChars="-65" w:right="-124" w:rightChars="-59"/>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纠正</w:t>
            </w:r>
          </w:p>
        </w:tc>
        <w:tc>
          <w:tcPr>
            <w:tcW w:w="6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ind w:left="-173" w:leftChars="-83" w:right="-134" w:rightChars="-64" w:hanging="1"/>
              <w:jc w:val="center"/>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其他</w:t>
            </w:r>
          </w:p>
          <w:p>
            <w:pPr>
              <w:widowControl/>
              <w:spacing w:line="400" w:lineRule="exact"/>
              <w:ind w:left="-173" w:leftChars="-83" w:right="-134" w:rightChars="-64" w:hanging="1"/>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w:t>
            </w:r>
          </w:p>
        </w:tc>
        <w:tc>
          <w:tcPr>
            <w:tcW w:w="58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ind w:left="-67" w:leftChars="-33" w:right="-105" w:rightChars="-50" w:hanging="2" w:hangingChars="1"/>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尚未审结</w:t>
            </w:r>
          </w:p>
        </w:tc>
        <w:tc>
          <w:tcPr>
            <w:tcW w:w="5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40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0</w:t>
            </w:r>
          </w:p>
        </w:tc>
        <w:tc>
          <w:tcPr>
            <w:tcW w:w="62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40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0</w:t>
            </w:r>
          </w:p>
        </w:tc>
        <w:tc>
          <w:tcPr>
            <w:tcW w:w="62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40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0</w:t>
            </w:r>
          </w:p>
        </w:tc>
        <w:tc>
          <w:tcPr>
            <w:tcW w:w="75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40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0</w:t>
            </w:r>
          </w:p>
        </w:tc>
        <w:tc>
          <w:tcPr>
            <w:tcW w:w="47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40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40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40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0</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40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0</w:t>
            </w:r>
          </w:p>
        </w:tc>
        <w:tc>
          <w:tcPr>
            <w:tcW w:w="5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40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0</w:t>
            </w:r>
          </w:p>
        </w:tc>
        <w:tc>
          <w:tcPr>
            <w:tcW w:w="47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40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0</w:t>
            </w:r>
          </w:p>
        </w:tc>
        <w:tc>
          <w:tcPr>
            <w:tcW w:w="54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4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40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0</w:t>
            </w:r>
          </w:p>
        </w:tc>
        <w:tc>
          <w:tcPr>
            <w:tcW w:w="6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40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40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0</w:t>
            </w:r>
          </w:p>
        </w:tc>
        <w:tc>
          <w:tcPr>
            <w:tcW w:w="5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40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0</w:t>
            </w:r>
          </w:p>
        </w:tc>
      </w:tr>
    </w:tbl>
    <w:p>
      <w:pPr>
        <w:pStyle w:val="3"/>
        <w:spacing w:before="0" w:after="0" w:line="560" w:lineRule="exact"/>
        <w:ind w:firstLine="640" w:firstLineChars="200"/>
        <w:rPr>
          <w:rFonts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14:textFill>
            <w14:solidFill>
              <w14:schemeClr w14:val="tx1"/>
            </w14:solidFill>
          </w14:textFill>
        </w:rPr>
        <w:t>五、政府信息公开工作存在的主要问题及改进情况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2023年，我局政府信息公开工作取得了明显的成效，但是距上级部门的要求和广大群众的期望还存在一定的差距，主要表现在：一是重要工作推进和重要领域信息公开不及时，整体公开内容更新较为缓慢，信息公开的效率仍需提高；二是部分局属单位、科室对政府信息公开工作缺乏全面了解，主动公开意识不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结合以上不足，</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文化和旅游局采取以下措施完善信息公开工作：一是进一步加强政务公开业务培训，适时召开政府信息公开工作专题会议，加强具体工作人员的业务能力，不断增强信息公开的主动性、时效性。二是落实专人负责分类收集工作动态，总结归纳相关信息，严格落实信息公开制度，切实提高政府信息公开工作的质量和水平。</w:t>
      </w:r>
    </w:p>
    <w:p>
      <w:pPr>
        <w:spacing w:line="560" w:lineRule="exact"/>
        <w:ind w:firstLine="640" w:firstLineChars="20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六、其他需要报告的事项</w:t>
      </w:r>
      <w:r>
        <w:rPr>
          <w:rFonts w:hint="eastAsia" w:ascii="黑体" w:hAnsi="黑体" w:eastAsia="黑体" w:cs="黑体"/>
          <w:color w:val="000000" w:themeColor="text1"/>
          <w14:textFill>
            <w14:solidFill>
              <w14:schemeClr w14:val="tx1"/>
            </w14:solidFill>
          </w14:textFill>
        </w:rPr>
        <w:t>：</w:t>
      </w:r>
    </w:p>
    <w:p>
      <w:pPr>
        <w:spacing w:line="560" w:lineRule="exact"/>
        <w:ind w:firstLine="640" w:firstLineChars="200"/>
        <w:rPr>
          <w:rFonts w:ascii="仿宋_GB2312" w:hAnsi="Ã¥Â¾Â®Ã¨Â½Â¯Ã©â€ºâ€¦Ã©Â»â€˜" w:eastAsia="仿宋_GB2312" w:cs="仿宋_GB2312"/>
          <w:color w:val="000000" w:themeColor="text1"/>
          <w:sz w:val="32"/>
          <w:szCs w:val="32"/>
          <w14:textFill>
            <w14:solidFill>
              <w14:schemeClr w14:val="tx1"/>
            </w14:solidFill>
          </w14:textFill>
        </w:rPr>
      </w:pPr>
      <w:r>
        <w:rPr>
          <w:rFonts w:ascii="楷体" w:hAnsi="楷体" w:eastAsia="楷体" w:cs="楷体"/>
          <w:color w:val="000000" w:themeColor="text1"/>
          <w:sz w:val="32"/>
          <w:szCs w:val="32"/>
          <w:shd w:val="clear" w:color="auto" w:fill="FFFFFF"/>
          <w14:textFill>
            <w14:solidFill>
              <w14:schemeClr w14:val="tx1"/>
            </w14:solidFill>
          </w14:textFill>
        </w:rPr>
        <w:t>一是</w:t>
      </w:r>
      <w:r>
        <w:rPr>
          <w:rFonts w:hint="eastAsia" w:ascii="楷体" w:hAnsi="楷体" w:eastAsia="楷体" w:cs="楷体"/>
          <w:color w:val="000000" w:themeColor="text1"/>
          <w:sz w:val="32"/>
          <w:szCs w:val="32"/>
          <w:shd w:val="clear" w:color="auto" w:fill="FFFFFF"/>
          <w14:textFill>
            <w14:solidFill>
              <w14:schemeClr w14:val="tx1"/>
            </w14:solidFill>
          </w14:textFill>
        </w:rPr>
        <w:t>收取信息处理费情况方面</w:t>
      </w:r>
      <w:r>
        <w:rPr>
          <w:rFonts w:ascii="仿宋_GB2312" w:hAnsi="Ã¥Â¾Â®Ã¨Â½Â¯Ã©â€ºâ€¦Ã©Â»â€˜"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Calibri" w:eastAsia="仿宋_GB2312" w:cs="仿宋_GB2312"/>
          <w:color w:val="000000" w:themeColor="text1"/>
          <w:sz w:val="32"/>
          <w:szCs w:val="32"/>
          <w:shd w:val="clear" w:color="auto" w:fill="FFFFFF"/>
          <w14:textFill>
            <w14:solidFill>
              <w14:schemeClr w14:val="tx1"/>
            </w14:solidFill>
          </w14:textFill>
        </w:rPr>
        <w:t>2023</w:t>
      </w:r>
      <w:r>
        <w:rPr>
          <w:rFonts w:hint="eastAsia" w:ascii="仿宋_GB2312" w:hAnsi="Ã¥Â¾Â®Ã¨Â½Â¯Ã©â€ºâ€¦Ã©Â»â€˜" w:eastAsia="仿宋_GB2312" w:cs="仿宋_GB2312"/>
          <w:color w:val="000000" w:themeColor="text1"/>
          <w:sz w:val="32"/>
          <w:szCs w:val="32"/>
          <w14:textFill>
            <w14:solidFill>
              <w14:schemeClr w14:val="tx1"/>
            </w14:solidFill>
          </w14:textFill>
        </w:rPr>
        <w:t>年，区文化和文旅局不存在因信息处理收取相关费用的情况。</w:t>
      </w:r>
    </w:p>
    <w:p>
      <w:pPr>
        <w:spacing w:line="560" w:lineRule="exact"/>
        <w:ind w:firstLine="640" w:firstLineChars="200"/>
        <w:rPr>
          <w:rFonts w:hint="default" w:ascii="仿宋_GB2312" w:hAnsi="Ã¥Â¾Â®Ã¨Â½Â¯Ã©â€ºâ€¦Ã©Â»â€˜"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二是落实上级年度政务公开工作要点情况</w:t>
      </w:r>
      <w:r>
        <w:rPr>
          <w:rFonts w:hint="eastAsia" w:ascii="仿宋_GB2312" w:hAnsi="Ã¥Â¾Â®Ã¨Â½Â¯Ã©â€ºâ€¦Ã©Â»â€˜" w:eastAsia="仿宋_GB2312" w:cs="仿宋_GB2312"/>
          <w:color w:val="000000" w:themeColor="text1"/>
          <w:sz w:val="32"/>
          <w:szCs w:val="32"/>
          <w:shd w:val="clear" w:color="auto" w:fill="FFFFFF"/>
          <w14:textFill>
            <w14:solidFill>
              <w14:schemeClr w14:val="tx1"/>
            </w14:solidFill>
          </w14:textFill>
        </w:rPr>
        <w:t>。</w:t>
      </w:r>
      <w:r>
        <w:rPr>
          <w:rFonts w:hint="default" w:ascii="仿宋_GB2312" w:hAnsi="Ã¥Â¾Â®Ã¨Â½Â¯Ã©â€ºâ€¦Ã©Â»â€˜" w:eastAsia="仿宋_GB2312" w:cs="仿宋_GB2312"/>
          <w:color w:val="000000" w:themeColor="text1"/>
          <w:sz w:val="32"/>
          <w:szCs w:val="32"/>
          <w14:textFill>
            <w14:solidFill>
              <w14:schemeClr w14:val="tx1"/>
            </w14:solidFill>
          </w14:textFill>
        </w:rPr>
        <w:t>区</w:t>
      </w:r>
      <w:r>
        <w:rPr>
          <w:rFonts w:hint="eastAsia" w:ascii="仿宋_GB2312" w:hAnsi="Ã¥Â¾Â®Ã¨Â½Â¯Ã©â€ºâ€¦Ã©Â»â€˜" w:eastAsia="仿宋_GB2312" w:cs="仿宋_GB2312"/>
          <w:color w:val="000000" w:themeColor="text1"/>
          <w:sz w:val="32"/>
          <w:szCs w:val="32"/>
          <w:lang w:val="en-US" w:eastAsia="zh-CN"/>
          <w14:textFill>
            <w14:solidFill>
              <w14:schemeClr w14:val="tx1"/>
            </w14:solidFill>
          </w14:textFill>
        </w:rPr>
        <w:t>文旅</w:t>
      </w:r>
      <w:r>
        <w:rPr>
          <w:rFonts w:hint="default" w:ascii="仿宋_GB2312" w:hAnsi="Ã¥Â¾Â®Ã¨Â½Â¯Ã©â€ºâ€¦Ã©Â»â€˜" w:eastAsia="仿宋_GB2312" w:cs="仿宋_GB2312"/>
          <w:color w:val="000000" w:themeColor="text1"/>
          <w:sz w:val="32"/>
          <w:szCs w:val="32"/>
          <w14:textFill>
            <w14:solidFill>
              <w14:schemeClr w14:val="tx1"/>
            </w14:solidFill>
          </w14:textFill>
        </w:rPr>
        <w:t>局严格按照《台儿庄区人民政府办公室关于印发&lt;2023年台儿庄区政务公开工作要点实施方案&gt;的通知》要求，结合</w:t>
      </w:r>
      <w:r>
        <w:rPr>
          <w:rFonts w:hint="eastAsia" w:ascii="仿宋_GB2312" w:hAnsi="Ã¥Â¾Â®Ã¨Â½Â¯Ã©â€ºâ€¦Ã©Â»â€˜" w:eastAsia="仿宋_GB2312" w:cs="仿宋_GB2312"/>
          <w:color w:val="000000" w:themeColor="text1"/>
          <w:sz w:val="32"/>
          <w:szCs w:val="32"/>
          <w:lang w:val="en-US" w:eastAsia="zh-CN"/>
          <w14:textFill>
            <w14:solidFill>
              <w14:schemeClr w14:val="tx1"/>
            </w14:solidFill>
          </w14:textFill>
        </w:rPr>
        <w:t>文化和旅游</w:t>
      </w:r>
      <w:r>
        <w:rPr>
          <w:rFonts w:hint="default" w:ascii="仿宋_GB2312" w:hAnsi="Ã¥Â¾Â®Ã¨Â½Â¯Ã©â€ºâ€¦Ã©Â»â€˜" w:eastAsia="仿宋_GB2312" w:cs="仿宋_GB2312"/>
          <w:color w:val="000000" w:themeColor="text1"/>
          <w:sz w:val="32"/>
          <w:szCs w:val="32"/>
          <w14:textFill>
            <w14:solidFill>
              <w14:schemeClr w14:val="tx1"/>
            </w14:solidFill>
          </w14:textFill>
        </w:rPr>
        <w:t>工作实际，明确各科室职责分工，制定工作要点，有序推进政务公开工作。</w:t>
      </w:r>
    </w:p>
    <w:p>
      <w:pPr>
        <w:spacing w:line="560" w:lineRule="exact"/>
        <w:ind w:firstLine="640" w:firstLineChars="200"/>
        <w:rPr>
          <w:rFonts w:ascii="仿宋_GB2312" w:hAnsi="Calibri"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三是人大代表建议和政协提案办理</w:t>
      </w:r>
      <w:r>
        <w:rPr>
          <w:rFonts w:hint="eastAsia" w:ascii="楷体" w:hAnsi="楷体" w:eastAsia="楷体" w:cs="楷体"/>
          <w:color w:val="000000" w:themeColor="text1"/>
          <w:sz w:val="32"/>
          <w:szCs w:val="32"/>
          <w:shd w:val="clear" w:color="auto" w:fill="FFFFFF"/>
          <w:lang w:val="en-US" w:eastAsia="zh-CN"/>
          <w14:textFill>
            <w14:solidFill>
              <w14:schemeClr w14:val="tx1"/>
            </w14:solidFill>
          </w14:textFill>
        </w:rPr>
        <w:t>结果公开</w:t>
      </w:r>
      <w:bookmarkStart w:id="10" w:name="_GoBack"/>
      <w:bookmarkEnd w:id="10"/>
      <w:r>
        <w:rPr>
          <w:rFonts w:hint="eastAsia" w:ascii="楷体" w:hAnsi="楷体" w:eastAsia="楷体" w:cs="楷体"/>
          <w:color w:val="000000" w:themeColor="text1"/>
          <w:sz w:val="32"/>
          <w:szCs w:val="32"/>
          <w:shd w:val="clear" w:color="auto" w:fill="FFFFFF"/>
          <w14:textFill>
            <w14:solidFill>
              <w14:schemeClr w14:val="tx1"/>
            </w14:solidFill>
          </w14:textFill>
        </w:rPr>
        <w:t>情况</w:t>
      </w:r>
      <w:r>
        <w:rPr>
          <w:rFonts w:hint="eastAsia" w:ascii="仿宋_GB2312" w:hAnsi="Ã¥Â¾Â®Ã¨Â½Â¯Ã©â€ºâ€¦Ã©Â»â€˜"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Calibri" w:eastAsia="仿宋_GB2312" w:cs="仿宋_GB2312"/>
          <w:color w:val="000000" w:themeColor="text1"/>
          <w:sz w:val="32"/>
          <w:szCs w:val="32"/>
          <w:shd w:val="clear" w:color="auto" w:fill="FFFFFF"/>
          <w14:textFill>
            <w14:solidFill>
              <w14:schemeClr w14:val="tx1"/>
            </w14:solidFill>
          </w14:textFill>
        </w:rPr>
        <w:t>2023</w:t>
      </w:r>
      <w:r>
        <w:rPr>
          <w:rFonts w:hint="eastAsia" w:ascii="仿宋_GB2312" w:hAnsi="Ã¥Â¾Â®Ã¨Â½Â¯Ã©â€ºâ€¦Ã©Â»â€˜" w:eastAsia="仿宋_GB2312" w:cs="仿宋_GB2312"/>
          <w:color w:val="000000" w:themeColor="text1"/>
          <w:sz w:val="32"/>
          <w:szCs w:val="32"/>
          <w14:textFill>
            <w14:solidFill>
              <w14:schemeClr w14:val="tx1"/>
            </w14:solidFill>
          </w14:textFill>
        </w:rPr>
        <w:t>年，区文化和旅游局</w:t>
      </w:r>
      <w:r>
        <w:rPr>
          <w:rFonts w:hint="eastAsia" w:ascii="仿宋_GB2312" w:eastAsia="仿宋_GB2312"/>
          <w:color w:val="000000" w:themeColor="text1"/>
          <w:sz w:val="32"/>
          <w:szCs w:val="32"/>
          <w14:textFill>
            <w14:solidFill>
              <w14:schemeClr w14:val="tx1"/>
            </w14:solidFill>
          </w14:textFill>
        </w:rPr>
        <w:t>建议提案办理26条。</w:t>
      </w:r>
    </w:p>
    <w:p>
      <w:pPr>
        <w:spacing w:line="560" w:lineRule="exact"/>
        <w:ind w:firstLine="640" w:firstLineChars="200"/>
        <w:rPr>
          <w:rFonts w:ascii="仿宋_GB2312" w:hAnsi="Calibri"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四是政务公开工作创新情况</w:t>
      </w:r>
      <w:r>
        <w:rPr>
          <w:rFonts w:hint="eastAsia" w:ascii="仿宋_GB2312" w:hAnsi="Ã¥Â¾Â®Ã¨Â½Â¯Ã©â€ºâ€¦Ã©Â»â€˜" w:eastAsia="仿宋_GB2312" w:cs="仿宋_GB2312"/>
          <w:color w:val="000000" w:themeColor="text1"/>
          <w:sz w:val="32"/>
          <w:szCs w:val="32"/>
          <w:shd w:val="clear" w:color="auto" w:fill="FFFFFF"/>
          <w14:textFill>
            <w14:solidFill>
              <w14:schemeClr w14:val="tx1"/>
            </w14:solidFill>
          </w14:textFill>
        </w:rPr>
        <w:t>：无</w:t>
      </w:r>
      <w:r>
        <w:rPr>
          <w:rFonts w:hint="eastAsia" w:ascii="仿宋_GB2312" w:hAnsi="Ã¥Â¾Â®Ã¨Â½Â¯Ã©â€ºâ€¦Ã©Â»â€˜"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Calibri"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五是本行政机关政府信息公开工作年度报告数据统计需要说明的事项</w:t>
      </w:r>
      <w:r>
        <w:rPr>
          <w:rFonts w:hint="eastAsia" w:ascii="仿宋_GB2312" w:hAnsi="Ã¥Â¾Â®Ã¨Â½Â¯Ã©â€ºâ€¦Ã©Â»â€˜"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Ã¥Â¾Â®Ã¨Â½Â¯Ã©â€ºâ€¦Ã©Â»â€˜" w:eastAsia="仿宋_GB2312" w:cs="仿宋_GB2312"/>
          <w:color w:val="000000" w:themeColor="text1"/>
          <w:sz w:val="32"/>
          <w:szCs w:val="32"/>
          <w14:textFill>
            <w14:solidFill>
              <w14:schemeClr w14:val="tx1"/>
            </w14:solidFill>
          </w14:textFill>
        </w:rPr>
        <w:t>报告中所列数据的统计期限自</w:t>
      </w:r>
      <w:r>
        <w:rPr>
          <w:rFonts w:hint="eastAsia" w:ascii="仿宋_GB2312" w:hAnsi="Calibri" w:eastAsia="仿宋_GB2312" w:cs="仿宋_GB2312"/>
          <w:color w:val="000000" w:themeColor="text1"/>
          <w:sz w:val="32"/>
          <w:szCs w:val="32"/>
          <w14:textFill>
            <w14:solidFill>
              <w14:schemeClr w14:val="tx1"/>
            </w14:solidFill>
          </w14:textFill>
        </w:rPr>
        <w:t>2023</w:t>
      </w:r>
      <w:r>
        <w:rPr>
          <w:rFonts w:hint="eastAsia" w:ascii="仿宋_GB2312" w:hAnsi="Ã¥Â¾Â®Ã¨Â½Â¯Ã©â€ºâ€¦Ã©Â»â€˜" w:eastAsia="仿宋_GB2312" w:cs="仿宋_GB2312"/>
          <w:color w:val="000000" w:themeColor="text1"/>
          <w:sz w:val="32"/>
          <w:szCs w:val="32"/>
          <w14:textFill>
            <w14:solidFill>
              <w14:schemeClr w14:val="tx1"/>
            </w14:solidFill>
          </w14:textFill>
        </w:rPr>
        <w:t>年</w:t>
      </w:r>
      <w:r>
        <w:rPr>
          <w:rFonts w:hint="eastAsia" w:ascii="仿宋_GB2312" w:hAnsi="Calibri" w:eastAsia="仿宋_GB2312" w:cs="仿宋_GB2312"/>
          <w:color w:val="000000" w:themeColor="text1"/>
          <w:sz w:val="32"/>
          <w:szCs w:val="32"/>
          <w14:textFill>
            <w14:solidFill>
              <w14:schemeClr w14:val="tx1"/>
            </w14:solidFill>
          </w14:textFill>
        </w:rPr>
        <w:t>1</w:t>
      </w:r>
      <w:r>
        <w:rPr>
          <w:rFonts w:hint="eastAsia" w:ascii="仿宋_GB2312" w:hAnsi="Ã¥Â¾Â®Ã¨Â½Â¯Ã©â€ºâ€¦Ã©Â»â€˜" w:eastAsia="仿宋_GB2312" w:cs="仿宋_GB2312"/>
          <w:color w:val="000000" w:themeColor="text1"/>
          <w:sz w:val="32"/>
          <w:szCs w:val="32"/>
          <w14:textFill>
            <w14:solidFill>
              <w14:schemeClr w14:val="tx1"/>
            </w14:solidFill>
          </w14:textFill>
        </w:rPr>
        <w:t>月</w:t>
      </w:r>
      <w:r>
        <w:rPr>
          <w:rFonts w:hint="eastAsia" w:ascii="仿宋_GB2312" w:hAnsi="Calibri" w:eastAsia="仿宋_GB2312" w:cs="仿宋_GB2312"/>
          <w:color w:val="000000" w:themeColor="text1"/>
          <w:sz w:val="32"/>
          <w:szCs w:val="32"/>
          <w14:textFill>
            <w14:solidFill>
              <w14:schemeClr w14:val="tx1"/>
            </w14:solidFill>
          </w14:textFill>
        </w:rPr>
        <w:t>1</w:t>
      </w:r>
      <w:r>
        <w:rPr>
          <w:rFonts w:hint="eastAsia" w:ascii="仿宋_GB2312" w:hAnsi="Ã¥Â¾Â®Ã¨Â½Â¯Ã©â€ºâ€¦Ã©Â»â€˜" w:eastAsia="仿宋_GB2312" w:cs="仿宋_GB2312"/>
          <w:color w:val="000000" w:themeColor="text1"/>
          <w:sz w:val="32"/>
          <w:szCs w:val="32"/>
          <w14:textFill>
            <w14:solidFill>
              <w14:schemeClr w14:val="tx1"/>
            </w14:solidFill>
          </w14:textFill>
        </w:rPr>
        <w:t>日起至</w:t>
      </w:r>
      <w:r>
        <w:rPr>
          <w:rFonts w:hint="eastAsia" w:ascii="仿宋_GB2312" w:hAnsi="Calibri" w:eastAsia="仿宋_GB2312" w:cs="仿宋_GB2312"/>
          <w:color w:val="000000" w:themeColor="text1"/>
          <w:sz w:val="32"/>
          <w:szCs w:val="32"/>
          <w14:textFill>
            <w14:solidFill>
              <w14:schemeClr w14:val="tx1"/>
            </w14:solidFill>
          </w14:textFill>
        </w:rPr>
        <w:t>2023</w:t>
      </w:r>
      <w:r>
        <w:rPr>
          <w:rFonts w:hint="eastAsia" w:ascii="仿宋_GB2312" w:hAnsi="Ã¥Â¾Â®Ã¨Â½Â¯Ã©â€ºâ€¦Ã©Â»â€˜" w:eastAsia="仿宋_GB2312" w:cs="仿宋_GB2312"/>
          <w:color w:val="000000" w:themeColor="text1"/>
          <w:sz w:val="32"/>
          <w:szCs w:val="32"/>
          <w14:textFill>
            <w14:solidFill>
              <w14:schemeClr w14:val="tx1"/>
            </w14:solidFill>
          </w14:textFill>
        </w:rPr>
        <w:t>年</w:t>
      </w:r>
      <w:r>
        <w:rPr>
          <w:rFonts w:hint="eastAsia" w:ascii="仿宋_GB2312" w:hAnsi="Calibri" w:eastAsia="仿宋_GB2312" w:cs="仿宋_GB2312"/>
          <w:color w:val="000000" w:themeColor="text1"/>
          <w:sz w:val="32"/>
          <w:szCs w:val="32"/>
          <w14:textFill>
            <w14:solidFill>
              <w14:schemeClr w14:val="tx1"/>
            </w14:solidFill>
          </w14:textFill>
        </w:rPr>
        <w:t>12</w:t>
      </w:r>
      <w:r>
        <w:rPr>
          <w:rFonts w:hint="eastAsia" w:ascii="仿宋_GB2312" w:hAnsi="Ã¥Â¾Â®Ã¨Â½Â¯Ã©â€ºâ€¦Ã©Â»â€˜" w:eastAsia="仿宋_GB2312" w:cs="仿宋_GB2312"/>
          <w:color w:val="000000" w:themeColor="text1"/>
          <w:sz w:val="32"/>
          <w:szCs w:val="32"/>
          <w14:textFill>
            <w14:solidFill>
              <w14:schemeClr w14:val="tx1"/>
            </w14:solidFill>
          </w14:textFill>
        </w:rPr>
        <w:t>月</w:t>
      </w:r>
      <w:r>
        <w:rPr>
          <w:rFonts w:hint="eastAsia" w:ascii="仿宋_GB2312" w:hAnsi="Calibri" w:eastAsia="仿宋_GB2312" w:cs="仿宋_GB2312"/>
          <w:color w:val="000000" w:themeColor="text1"/>
          <w:sz w:val="32"/>
          <w:szCs w:val="32"/>
          <w14:textFill>
            <w14:solidFill>
              <w14:schemeClr w14:val="tx1"/>
            </w14:solidFill>
          </w14:textFill>
        </w:rPr>
        <w:t>31</w:t>
      </w:r>
      <w:r>
        <w:rPr>
          <w:rFonts w:hint="eastAsia" w:ascii="仿宋_GB2312" w:hAnsi="Ã¥Â¾Â®Ã¨Â½Â¯Ã©â€ºâ€¦Ã©Â»â€˜" w:eastAsia="仿宋_GB2312" w:cs="仿宋_GB2312"/>
          <w:color w:val="000000" w:themeColor="text1"/>
          <w:sz w:val="32"/>
          <w:szCs w:val="32"/>
          <w14:textFill>
            <w14:solidFill>
              <w14:schemeClr w14:val="tx1"/>
            </w14:solidFill>
          </w14:textFill>
        </w:rPr>
        <w:t>日止。</w:t>
      </w:r>
    </w:p>
    <w:p>
      <w:pPr>
        <w:spacing w:line="560" w:lineRule="exact"/>
        <w:ind w:firstLine="640" w:firstLineChars="200"/>
        <w:rPr>
          <w:rFonts w:ascii="仿宋_GB2312" w:hAnsi="Calibri" w:eastAsia="仿宋_GB2312" w:cs="仿宋_GB2312"/>
          <w:color w:val="000000" w:themeColor="text1"/>
          <w:sz w:val="32"/>
          <w:szCs w:val="32"/>
          <w:shd w:val="clear" w:color="auto" w:fill="FFFFFF"/>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六是本行政机关认为需要报告的其他事项</w:t>
      </w:r>
      <w:r>
        <w:rPr>
          <w:rFonts w:hint="eastAsia" w:ascii="仿宋_GB2312" w:hAnsi="Ã¥Â¾Â®Ã¨Â½Â¯Ã©â€ºâ€¦Ã©Â»â€˜" w:eastAsia="仿宋_GB2312" w:cs="仿宋_GB2312"/>
          <w:color w:val="000000" w:themeColor="text1"/>
          <w:sz w:val="32"/>
          <w:szCs w:val="32"/>
          <w:shd w:val="clear" w:color="auto" w:fill="FFFFFF"/>
          <w14:textFill>
            <w14:solidFill>
              <w14:schemeClr w14:val="tx1"/>
            </w14:solidFill>
          </w14:textFill>
        </w:rPr>
        <w:t>：无。</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七是其他有关文件专门要求通过政府信息公开工作年度报告予以报告的事项</w:t>
      </w:r>
      <w:r>
        <w:rPr>
          <w:rFonts w:hint="eastAsia" w:ascii="仿宋_GB2312" w:hAnsi="Ã¥Â¾Â®Ã¨Â½Â¯Ã©â€ºâ€¦Ã©Â»â€˜" w:eastAsia="仿宋_GB2312" w:cs="仿宋_GB2312"/>
          <w:color w:val="000000" w:themeColor="text1"/>
          <w:sz w:val="32"/>
          <w:szCs w:val="32"/>
          <w:shd w:val="clear" w:color="auto" w:fill="FFFFFF"/>
          <w14:textFill>
            <w14:solidFill>
              <w14:schemeClr w14:val="tx1"/>
            </w14:solidFill>
          </w14:textFill>
        </w:rPr>
        <w:t>：无。</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pStyle w:val="6"/>
        <w:widowControl/>
        <w:shd w:val="clear" w:color="auto" w:fill="FFFFFF"/>
        <w:spacing w:beforeAutospacing="0" w:afterAutospacing="0" w:line="560" w:lineRule="exact"/>
        <w:ind w:left="418" w:firstLine="418"/>
        <w:jc w:val="right"/>
        <w:rPr>
          <w:rFonts w:hint="eastAsia" w:ascii="Ã¥Â¾Â®Ã¨Â½Â¯Ã©â€ºâ€¦Ã©Â»â€˜" w:hAnsi="Ã¥Â¾Â®Ã¨Â½Â¯Ã©â€ºâ€¦Ã©Â»â€˜" w:eastAsia="仿宋_GB2312" w:cs="Ã¥Â¾Â®Ã¨Â½Â¯Ã©â€ºâ€¦Ã©Â»â€˜"/>
          <w:color w:val="000000" w:themeColor="text1"/>
          <w:sz w:val="16"/>
          <w:szCs w:val="16"/>
          <w14:textFill>
            <w14:solidFill>
              <w14:schemeClr w14:val="tx1"/>
            </w14:solidFill>
          </w14:textFill>
        </w:rPr>
      </w:pPr>
      <w:r>
        <w:rPr>
          <w:rFonts w:ascii="仿宋_GB2312" w:hAnsi="Ã¥Â¾Â®Ã¨Â½Â¯Ã©â€ºâ€¦Ã©Â»â€˜" w:eastAsia="仿宋_GB2312" w:cs="仿宋_GB2312"/>
          <w:color w:val="000000" w:themeColor="text1"/>
          <w:sz w:val="32"/>
          <w:szCs w:val="32"/>
          <w:shd w:val="clear" w:color="auto" w:fill="FFFFFF"/>
          <w14:textFill>
            <w14:solidFill>
              <w14:schemeClr w14:val="tx1"/>
            </w14:solidFill>
          </w14:textFill>
        </w:rPr>
        <w:t>台儿庄区</w:t>
      </w:r>
      <w:r>
        <w:rPr>
          <w:rFonts w:hint="eastAsia" w:ascii="仿宋_GB2312" w:hAnsi="Ã¥Â¾Â®Ã¨Â½Â¯Ã©â€ºâ€¦Ã©Â»â€˜" w:eastAsia="仿宋_GB2312" w:cs="仿宋_GB2312"/>
          <w:color w:val="000000" w:themeColor="text1"/>
          <w:sz w:val="32"/>
          <w:szCs w:val="32"/>
          <w:shd w:val="clear" w:color="auto" w:fill="FFFFFF"/>
          <w14:textFill>
            <w14:solidFill>
              <w14:schemeClr w14:val="tx1"/>
            </w14:solidFill>
          </w14:textFill>
        </w:rPr>
        <w:t>文化和旅游局</w:t>
      </w:r>
    </w:p>
    <w:p>
      <w:pPr>
        <w:pStyle w:val="6"/>
        <w:widowControl/>
        <w:shd w:val="clear" w:color="auto" w:fill="FFFFFF"/>
        <w:spacing w:beforeAutospacing="0" w:afterAutospacing="0" w:line="560" w:lineRule="exact"/>
        <w:ind w:left="418" w:firstLine="418"/>
        <w:jc w:val="right"/>
        <w:rPr>
          <w:rFonts w:ascii="仿宋_GB2312" w:eastAsia="仿宋_GB2312"/>
          <w:color w:val="000000" w:themeColor="text1"/>
          <w:sz w:val="32"/>
          <w:szCs w:val="32"/>
          <w14:textFill>
            <w14:solidFill>
              <w14:schemeClr w14:val="tx1"/>
            </w14:solidFill>
          </w14:textFill>
        </w:rPr>
      </w:pPr>
      <w:r>
        <w:rPr>
          <w:rFonts w:hint="eastAsia" w:ascii="仿宋_GB2312" w:hAnsi="Ã¥Â¾Â®Ã¨Â½Â¯Ã©â€ºâ€¦Ã©Â»â€˜" w:eastAsia="仿宋_GB2312" w:cs="仿宋_GB2312"/>
          <w:color w:val="000000" w:themeColor="text1"/>
          <w:sz w:val="32"/>
          <w:szCs w:val="32"/>
          <w:shd w:val="clear" w:color="auto" w:fill="FFFFFF"/>
          <w14:textFill>
            <w14:solidFill>
              <w14:schemeClr w14:val="tx1"/>
            </w14:solidFill>
          </w14:textFill>
        </w:rPr>
        <w:t>2024年1月16日</w:t>
      </w:r>
    </w:p>
    <w:sectPr>
      <w:footerReference r:id="rId3" w:type="default"/>
      <w:pgSz w:w="11906" w:h="16838"/>
      <w:pgMar w:top="1985"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t>2</w:t>
                          </w:r>
                          <w:r>
                            <w:rPr>
                              <w:rFonts w:hint="eastAsia" w:eastAsia="宋体"/>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t>2</w:t>
                    </w:r>
                    <w:r>
                      <w:rPr>
                        <w:rFonts w:hint="eastAsia" w:eastAsia="宋体"/>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kMjZlNjliODhkOTBjODc3OTg2NGUyMDNmNTk0ZjIifQ=="/>
  </w:docVars>
  <w:rsids>
    <w:rsidRoot w:val="00502C34"/>
    <w:rsid w:val="00006C22"/>
    <w:rsid w:val="0003350B"/>
    <w:rsid w:val="000500B1"/>
    <w:rsid w:val="0006512C"/>
    <w:rsid w:val="000A57BF"/>
    <w:rsid w:val="000B4F9F"/>
    <w:rsid w:val="000C1FDA"/>
    <w:rsid w:val="00121655"/>
    <w:rsid w:val="00123E53"/>
    <w:rsid w:val="001679FF"/>
    <w:rsid w:val="00180B4F"/>
    <w:rsid w:val="00196721"/>
    <w:rsid w:val="001F026B"/>
    <w:rsid w:val="00203F15"/>
    <w:rsid w:val="00211F6A"/>
    <w:rsid w:val="00243BAF"/>
    <w:rsid w:val="00286BF3"/>
    <w:rsid w:val="002B58BB"/>
    <w:rsid w:val="00315DDF"/>
    <w:rsid w:val="00333740"/>
    <w:rsid w:val="0036469A"/>
    <w:rsid w:val="00372E47"/>
    <w:rsid w:val="00384B12"/>
    <w:rsid w:val="00392DAD"/>
    <w:rsid w:val="003B7659"/>
    <w:rsid w:val="003C1943"/>
    <w:rsid w:val="004162E7"/>
    <w:rsid w:val="00463EF5"/>
    <w:rsid w:val="004D3C2B"/>
    <w:rsid w:val="004D6D24"/>
    <w:rsid w:val="00502C34"/>
    <w:rsid w:val="00515416"/>
    <w:rsid w:val="00531FBB"/>
    <w:rsid w:val="00552F1D"/>
    <w:rsid w:val="005548EB"/>
    <w:rsid w:val="00612182"/>
    <w:rsid w:val="00683E94"/>
    <w:rsid w:val="006B5301"/>
    <w:rsid w:val="006E2A67"/>
    <w:rsid w:val="00760120"/>
    <w:rsid w:val="007E43CD"/>
    <w:rsid w:val="008244CB"/>
    <w:rsid w:val="00846109"/>
    <w:rsid w:val="00851E51"/>
    <w:rsid w:val="008C68B1"/>
    <w:rsid w:val="00923DE3"/>
    <w:rsid w:val="00990BC0"/>
    <w:rsid w:val="009D1EAC"/>
    <w:rsid w:val="00A9562B"/>
    <w:rsid w:val="00AC0838"/>
    <w:rsid w:val="00AC0B55"/>
    <w:rsid w:val="00B0360E"/>
    <w:rsid w:val="00B06CEF"/>
    <w:rsid w:val="00B82BD5"/>
    <w:rsid w:val="00B846A3"/>
    <w:rsid w:val="00BA1959"/>
    <w:rsid w:val="00BB1402"/>
    <w:rsid w:val="00BD1F13"/>
    <w:rsid w:val="00BD2DFA"/>
    <w:rsid w:val="00BF2FF7"/>
    <w:rsid w:val="00C106D4"/>
    <w:rsid w:val="00C24C5F"/>
    <w:rsid w:val="00C67C73"/>
    <w:rsid w:val="00C74995"/>
    <w:rsid w:val="00CA2A1F"/>
    <w:rsid w:val="00CE332F"/>
    <w:rsid w:val="00D206E1"/>
    <w:rsid w:val="00DD7168"/>
    <w:rsid w:val="00DF3523"/>
    <w:rsid w:val="00DF7D80"/>
    <w:rsid w:val="00E41AF0"/>
    <w:rsid w:val="00EB3129"/>
    <w:rsid w:val="00ED6874"/>
    <w:rsid w:val="00ED698F"/>
    <w:rsid w:val="00EE7943"/>
    <w:rsid w:val="00F01622"/>
    <w:rsid w:val="00F03027"/>
    <w:rsid w:val="00F42818"/>
    <w:rsid w:val="00F57A9C"/>
    <w:rsid w:val="00F7173D"/>
    <w:rsid w:val="00F90155"/>
    <w:rsid w:val="00FC01CB"/>
    <w:rsid w:val="00FF3FF5"/>
    <w:rsid w:val="00FF65C3"/>
    <w:rsid w:val="01157044"/>
    <w:rsid w:val="0127533C"/>
    <w:rsid w:val="020222EA"/>
    <w:rsid w:val="03C662F7"/>
    <w:rsid w:val="03E55601"/>
    <w:rsid w:val="04D06892"/>
    <w:rsid w:val="050F4C63"/>
    <w:rsid w:val="05592465"/>
    <w:rsid w:val="06267C77"/>
    <w:rsid w:val="09587AA6"/>
    <w:rsid w:val="095A0015"/>
    <w:rsid w:val="09923229"/>
    <w:rsid w:val="09B00626"/>
    <w:rsid w:val="0A171828"/>
    <w:rsid w:val="0A636CB9"/>
    <w:rsid w:val="0D580EFF"/>
    <w:rsid w:val="0E057F83"/>
    <w:rsid w:val="0E6849BB"/>
    <w:rsid w:val="0FAC7174"/>
    <w:rsid w:val="100E479D"/>
    <w:rsid w:val="113016D6"/>
    <w:rsid w:val="12444E0E"/>
    <w:rsid w:val="13134602"/>
    <w:rsid w:val="136B35B7"/>
    <w:rsid w:val="14061BAD"/>
    <w:rsid w:val="158B57B1"/>
    <w:rsid w:val="163C6BEC"/>
    <w:rsid w:val="16C47790"/>
    <w:rsid w:val="18491110"/>
    <w:rsid w:val="19AF243B"/>
    <w:rsid w:val="1A7B3BAB"/>
    <w:rsid w:val="1B2E6E70"/>
    <w:rsid w:val="1B582334"/>
    <w:rsid w:val="1CB11C41"/>
    <w:rsid w:val="20987C63"/>
    <w:rsid w:val="212D24F2"/>
    <w:rsid w:val="21D3452B"/>
    <w:rsid w:val="22545EE4"/>
    <w:rsid w:val="226B6B2E"/>
    <w:rsid w:val="2410238D"/>
    <w:rsid w:val="24181015"/>
    <w:rsid w:val="24B614E1"/>
    <w:rsid w:val="27AB0E50"/>
    <w:rsid w:val="28BD4721"/>
    <w:rsid w:val="29D6519A"/>
    <w:rsid w:val="2A0F39AB"/>
    <w:rsid w:val="2CA31355"/>
    <w:rsid w:val="2CBC42DB"/>
    <w:rsid w:val="2D0F64E2"/>
    <w:rsid w:val="2DF8344D"/>
    <w:rsid w:val="2F4525B6"/>
    <w:rsid w:val="2F912F5E"/>
    <w:rsid w:val="2FF95846"/>
    <w:rsid w:val="30E57729"/>
    <w:rsid w:val="3116573B"/>
    <w:rsid w:val="31185136"/>
    <w:rsid w:val="325E0534"/>
    <w:rsid w:val="33CE0919"/>
    <w:rsid w:val="33E3384C"/>
    <w:rsid w:val="34040D1E"/>
    <w:rsid w:val="36073934"/>
    <w:rsid w:val="370867EE"/>
    <w:rsid w:val="38A46F61"/>
    <w:rsid w:val="3B1674A4"/>
    <w:rsid w:val="3BC05A97"/>
    <w:rsid w:val="3C6B187A"/>
    <w:rsid w:val="3C787E8C"/>
    <w:rsid w:val="3CD8571C"/>
    <w:rsid w:val="3CDE029E"/>
    <w:rsid w:val="3D6A6FEF"/>
    <w:rsid w:val="3DF256D1"/>
    <w:rsid w:val="3E4B4030"/>
    <w:rsid w:val="3F10322A"/>
    <w:rsid w:val="3F4F0D9F"/>
    <w:rsid w:val="3FC82140"/>
    <w:rsid w:val="429805A1"/>
    <w:rsid w:val="445C6E8A"/>
    <w:rsid w:val="44916B06"/>
    <w:rsid w:val="44CF6D74"/>
    <w:rsid w:val="455409F8"/>
    <w:rsid w:val="46426964"/>
    <w:rsid w:val="47C4007E"/>
    <w:rsid w:val="47F376CD"/>
    <w:rsid w:val="47F752FC"/>
    <w:rsid w:val="49F937B2"/>
    <w:rsid w:val="4A4E35EE"/>
    <w:rsid w:val="4A5120AF"/>
    <w:rsid w:val="4BF63267"/>
    <w:rsid w:val="4CA611C5"/>
    <w:rsid w:val="4CF1499B"/>
    <w:rsid w:val="5305242A"/>
    <w:rsid w:val="534060CD"/>
    <w:rsid w:val="55216B22"/>
    <w:rsid w:val="56457ECA"/>
    <w:rsid w:val="596D3DD0"/>
    <w:rsid w:val="5C0D6234"/>
    <w:rsid w:val="5CA13616"/>
    <w:rsid w:val="5D2B5976"/>
    <w:rsid w:val="5DA20DC0"/>
    <w:rsid w:val="5E1D3371"/>
    <w:rsid w:val="5F5F56AB"/>
    <w:rsid w:val="5FB27984"/>
    <w:rsid w:val="60000BE7"/>
    <w:rsid w:val="601C5E1C"/>
    <w:rsid w:val="609F1971"/>
    <w:rsid w:val="60BF176E"/>
    <w:rsid w:val="61734BA9"/>
    <w:rsid w:val="622F287E"/>
    <w:rsid w:val="636A1330"/>
    <w:rsid w:val="647A6B10"/>
    <w:rsid w:val="66C7577B"/>
    <w:rsid w:val="672B4917"/>
    <w:rsid w:val="67D522F5"/>
    <w:rsid w:val="68E20F4D"/>
    <w:rsid w:val="69562CDD"/>
    <w:rsid w:val="695F3033"/>
    <w:rsid w:val="69E43C97"/>
    <w:rsid w:val="6C45735C"/>
    <w:rsid w:val="6D031ABD"/>
    <w:rsid w:val="6D6E41FD"/>
    <w:rsid w:val="6D833B02"/>
    <w:rsid w:val="6EE43810"/>
    <w:rsid w:val="6F2D786B"/>
    <w:rsid w:val="6F356262"/>
    <w:rsid w:val="6F3D2248"/>
    <w:rsid w:val="721B5299"/>
    <w:rsid w:val="72DA3721"/>
    <w:rsid w:val="74B949DA"/>
    <w:rsid w:val="750000AA"/>
    <w:rsid w:val="751A01F1"/>
    <w:rsid w:val="780F1F07"/>
    <w:rsid w:val="785F0023"/>
    <w:rsid w:val="79212117"/>
    <w:rsid w:val="793F73F3"/>
    <w:rsid w:val="7ACC6508"/>
    <w:rsid w:val="7B7A0BB6"/>
    <w:rsid w:val="7D13397B"/>
    <w:rsid w:val="7DA24AE8"/>
    <w:rsid w:val="7DCB4717"/>
    <w:rsid w:val="7E4A01C3"/>
    <w:rsid w:val="7ECC1C48"/>
    <w:rsid w:val="7F4F47CD"/>
    <w:rsid w:val="7F67606F"/>
    <w:rsid w:val="7F9F5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22"/>
    <w:rPr>
      <w:b/>
    </w:rPr>
  </w:style>
  <w:style w:type="character" w:styleId="10">
    <w:name w:val="FollowedHyperlink"/>
    <w:basedOn w:val="8"/>
    <w:unhideWhenUsed/>
    <w:qFormat/>
    <w:uiPriority w:val="99"/>
    <w:rPr>
      <w:color w:val="337AB7"/>
      <w:u w:val="single"/>
    </w:rPr>
  </w:style>
  <w:style w:type="character" w:styleId="11">
    <w:name w:val="Emphasis"/>
    <w:basedOn w:val="8"/>
    <w:qFormat/>
    <w:uiPriority w:val="20"/>
    <w:rPr>
      <w:i/>
    </w:rPr>
  </w:style>
  <w:style w:type="character" w:styleId="12">
    <w:name w:val="HTML Definition"/>
    <w:basedOn w:val="8"/>
    <w:unhideWhenUsed/>
    <w:qFormat/>
    <w:uiPriority w:val="99"/>
    <w:rPr>
      <w:i/>
    </w:rPr>
  </w:style>
  <w:style w:type="character" w:styleId="13">
    <w:name w:val="Hyperlink"/>
    <w:basedOn w:val="8"/>
    <w:unhideWhenUsed/>
    <w:qFormat/>
    <w:uiPriority w:val="99"/>
    <w:rPr>
      <w:color w:val="337AB7"/>
      <w:u w:val="single"/>
    </w:rPr>
  </w:style>
  <w:style w:type="character" w:styleId="14">
    <w:name w:val="HTML Code"/>
    <w:basedOn w:val="8"/>
    <w:unhideWhenUsed/>
    <w:qFormat/>
    <w:uiPriority w:val="99"/>
    <w:rPr>
      <w:rFonts w:ascii="Menlo" w:hAnsi="Menlo" w:eastAsia="Menlo" w:cs="Menlo"/>
      <w:color w:val="C7254E"/>
      <w:sz w:val="21"/>
      <w:szCs w:val="21"/>
      <w:shd w:val="clear" w:color="auto" w:fill="F9F2F4"/>
    </w:rPr>
  </w:style>
  <w:style w:type="character" w:styleId="15">
    <w:name w:val="HTML Keyboard"/>
    <w:basedOn w:val="8"/>
    <w:unhideWhenUsed/>
    <w:qFormat/>
    <w:uiPriority w:val="99"/>
    <w:rPr>
      <w:rFonts w:hint="default" w:ascii="Menlo" w:hAnsi="Menlo" w:eastAsia="Menlo" w:cs="Menlo"/>
      <w:color w:val="FFFFFF"/>
      <w:sz w:val="21"/>
      <w:szCs w:val="21"/>
      <w:shd w:val="clear" w:color="auto" w:fill="333333"/>
    </w:rPr>
  </w:style>
  <w:style w:type="character" w:styleId="16">
    <w:name w:val="HTML Sample"/>
    <w:basedOn w:val="8"/>
    <w:unhideWhenUsed/>
    <w:qFormat/>
    <w:uiPriority w:val="99"/>
    <w:rPr>
      <w:rFonts w:hint="default" w:ascii="Menlo" w:hAnsi="Menlo" w:eastAsia="Menlo" w:cs="Menlo"/>
      <w:sz w:val="21"/>
      <w:szCs w:val="21"/>
    </w:rPr>
  </w:style>
  <w:style w:type="character" w:customStyle="1" w:styleId="17">
    <w:name w:val="页眉 字符"/>
    <w:basedOn w:val="8"/>
    <w:link w:val="5"/>
    <w:qFormat/>
    <w:uiPriority w:val="99"/>
    <w:rPr>
      <w:sz w:val="18"/>
      <w:szCs w:val="18"/>
    </w:rPr>
  </w:style>
  <w:style w:type="character" w:customStyle="1" w:styleId="18">
    <w:name w:val="页脚 字符"/>
    <w:basedOn w:val="8"/>
    <w:link w:val="4"/>
    <w:qFormat/>
    <w:uiPriority w:val="99"/>
    <w:rPr>
      <w:sz w:val="18"/>
      <w:szCs w:val="18"/>
    </w:rPr>
  </w:style>
  <w:style w:type="character" w:customStyle="1" w:styleId="19">
    <w:name w:val="标题 1 字符"/>
    <w:basedOn w:val="8"/>
    <w:link w:val="2"/>
    <w:qFormat/>
    <w:uiPriority w:val="9"/>
    <w:rPr>
      <w:b/>
      <w:bCs/>
      <w:kern w:val="44"/>
      <w:sz w:val="44"/>
      <w:szCs w:val="44"/>
    </w:rPr>
  </w:style>
  <w:style w:type="character" w:customStyle="1" w:styleId="20">
    <w:name w:val="标题 2 字符"/>
    <w:basedOn w:val="8"/>
    <w:link w:val="3"/>
    <w:qFormat/>
    <w:uiPriority w:val="9"/>
    <w:rPr>
      <w:rFonts w:asciiTheme="majorHAnsi" w:hAnsiTheme="majorHAnsi" w:eastAsiaTheme="majorEastAsia" w:cstheme="majorBidi"/>
      <w:b/>
      <w:bCs/>
      <w:sz w:val="32"/>
      <w:szCs w:val="32"/>
    </w:r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450</Words>
  <Characters>2567</Characters>
  <Lines>21</Lines>
  <Paragraphs>6</Paragraphs>
  <TotalTime>7</TotalTime>
  <ScaleCrop>false</ScaleCrop>
  <LinksUpToDate>false</LinksUpToDate>
  <CharactersWithSpaces>3011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2024-01-23T08:38:00Z</dcterms:created>
  <dc:creator>qiyuanhua0168@163.com</dc:creator>
  <cp:lastModifiedBy>xy</cp:lastModifiedBy>
  <cp:lastPrinted>2023-01-16T00:39:00Z</cp:lastPrinted>
  <dcterms:modified xsi:type="dcterms:W3CDTF">2024-02-20T07:11:37Z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D46BD01425DC46129BFBFAAEFE5B40D9</vt:lpwstr>
  </property>
</Properties>
</file>