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560" w:lineRule="exact"/>
        <w:jc w:val="center"/>
        <w:rPr>
          <w:rFonts w:ascii="方正小标宋简体" w:hAnsi="黑体" w:eastAsia="方正小标宋简体" w:cs="黑体"/>
          <w:b w:val="0"/>
          <w:bCs w:val="0"/>
          <w:color w:val="333333"/>
          <w:sz w:val="44"/>
          <w:szCs w:val="44"/>
          <w:shd w:val="clear" w:color="auto" w:fill="FFFFFF"/>
        </w:rPr>
      </w:pPr>
      <w:r>
        <w:rPr>
          <w:rFonts w:ascii="方正小标宋简体" w:hAnsi="黑体" w:eastAsia="方正小标宋简体" w:cs="黑体"/>
          <w:b w:val="0"/>
          <w:bCs w:val="0"/>
          <w:color w:val="333333"/>
          <w:sz w:val="44"/>
          <w:szCs w:val="44"/>
          <w:shd w:val="clear" w:color="auto" w:fill="FFFFFF"/>
        </w:rPr>
        <w:t>台儿庄区张山子镇人民政府</w:t>
      </w:r>
    </w:p>
    <w:p>
      <w:pPr>
        <w:pStyle w:val="2"/>
        <w:widowControl/>
        <w:shd w:val="clear" w:color="auto" w:fill="FFFFFF"/>
        <w:spacing w:beforeAutospacing="0" w:afterAutospacing="0" w:line="560" w:lineRule="exact"/>
        <w:jc w:val="center"/>
        <w:rPr>
          <w:rFonts w:ascii="方正小标宋简体" w:hAnsi="黑体" w:eastAsia="方正小标宋简体" w:cs="黑体"/>
          <w:b w:val="0"/>
          <w:bCs w:val="0"/>
          <w:color w:val="333333"/>
          <w:sz w:val="44"/>
          <w:szCs w:val="44"/>
        </w:rPr>
      </w:pPr>
      <w:r>
        <w:rPr>
          <w:rFonts w:ascii="方正小标宋简体" w:hAnsi="黑体" w:eastAsia="方正小标宋简体" w:cs="黑体"/>
          <w:b w:val="0"/>
          <w:bCs w:val="0"/>
          <w:color w:val="333333"/>
          <w:sz w:val="44"/>
          <w:szCs w:val="44"/>
          <w:shd w:val="clear" w:color="auto" w:fill="FFFFFF"/>
        </w:rPr>
        <w:t>2023年政府信息公开工作年度报告</w:t>
      </w:r>
    </w:p>
    <w:p>
      <w:pPr>
        <w:pStyle w:val="5"/>
        <w:widowControl/>
        <w:spacing w:beforeAutospacing="0" w:afterAutospacing="0" w:line="560" w:lineRule="exact"/>
        <w:ind w:firstLine="640" w:firstLineChars="200"/>
        <w:jc w:val="both"/>
        <w:rPr>
          <w:rFonts w:ascii="仿宋_GB2312" w:hAnsi="仿宋_GB2312" w:eastAsia="仿宋_GB2312" w:cs="仿宋_GB2312"/>
          <w:sz w:val="32"/>
          <w:szCs w:val="32"/>
        </w:rPr>
      </w:pPr>
    </w:p>
    <w:p>
      <w:pPr>
        <w:pStyle w:val="5"/>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按照新修订的《中华人民共和国政府信息公开条例》要求，特编制张山子镇人民政府2023年政府信息公开工作年度报告，并向社会公布。</w:t>
      </w:r>
      <w:r>
        <w:rPr>
          <w:rFonts w:ascii="仿宋_GB2312" w:hAnsi="仿宋_GB2312" w:eastAsia="仿宋_GB2312" w:cs="仿宋_GB2312"/>
          <w:sz w:val="32"/>
          <w:szCs w:val="32"/>
        </w:rPr>
        <w:t>本报告包括：总体情况；行政机关主动公开政府信息的情况；行政机关收到和处理政府信息公开申请的情况；因政府信息公开工作被申请行政复议、提起行政诉讼的情况；政府信息公开工作存在的主要问题及改进情况、其他需要报告的事项等六个部分。报告中所列数据的统计期限自202</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年1月1日起至202</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年12月31日止。报告的电子版可在“台儿庄区政府门户网站”下载。如对本报告有疑问，请与</w:t>
      </w:r>
      <w:r>
        <w:rPr>
          <w:rFonts w:hint="eastAsia" w:ascii="仿宋_GB2312" w:hAnsi="仿宋_GB2312" w:eastAsia="仿宋_GB2312" w:cs="仿宋_GB2312"/>
          <w:sz w:val="32"/>
          <w:szCs w:val="32"/>
        </w:rPr>
        <w:t>张山子镇人民政府</w:t>
      </w:r>
      <w:r>
        <w:rPr>
          <w:rFonts w:ascii="仿宋_GB2312" w:hAnsi="仿宋_GB2312" w:eastAsia="仿宋_GB2312" w:cs="仿宋_GB2312"/>
          <w:sz w:val="32"/>
          <w:szCs w:val="32"/>
        </w:rPr>
        <w:t>党政办公室联系(地址：台儿庄区</w:t>
      </w:r>
      <w:r>
        <w:rPr>
          <w:rFonts w:hint="eastAsia" w:ascii="仿宋_GB2312" w:hAnsi="仿宋_GB2312" w:eastAsia="仿宋_GB2312" w:cs="仿宋_GB2312"/>
          <w:sz w:val="32"/>
          <w:szCs w:val="32"/>
        </w:rPr>
        <w:t>张山子镇人民政府院内</w:t>
      </w:r>
      <w:r>
        <w:rPr>
          <w:rFonts w:ascii="仿宋_GB2312" w:hAnsi="仿宋_GB2312" w:eastAsia="仿宋_GB2312" w:cs="仿宋_GB2312"/>
          <w:sz w:val="32"/>
          <w:szCs w:val="32"/>
        </w:rPr>
        <w:t>；邮编：2774</w:t>
      </w:r>
      <w:r>
        <w:rPr>
          <w:rFonts w:hint="eastAsia" w:ascii="仿宋_GB2312" w:hAnsi="仿宋_GB2312" w:eastAsia="仿宋_GB2312" w:cs="仿宋_GB2312"/>
          <w:sz w:val="32"/>
          <w:szCs w:val="32"/>
        </w:rPr>
        <w:t>17</w:t>
      </w:r>
      <w:r>
        <w:rPr>
          <w:rFonts w:ascii="仿宋_GB2312" w:hAnsi="仿宋_GB2312" w:eastAsia="仿宋_GB2312" w:cs="仿宋_GB2312"/>
          <w:sz w:val="32"/>
          <w:szCs w:val="32"/>
        </w:rPr>
        <w:t>；联系电话</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0632-</w:t>
      </w:r>
      <w:r>
        <w:rPr>
          <w:rFonts w:hint="eastAsia" w:ascii="仿宋_GB2312" w:hAnsi="仿宋_GB2312" w:eastAsia="仿宋_GB2312" w:cs="仿宋_GB2312"/>
          <w:sz w:val="32"/>
          <w:szCs w:val="32"/>
        </w:rPr>
        <w:t>8025721</w:t>
      </w:r>
      <w:r>
        <w:rPr>
          <w:rFonts w:ascii="仿宋_GB2312" w:hAnsi="仿宋_GB2312" w:eastAsia="仿宋_GB2312" w:cs="仿宋_GB2312"/>
          <w:sz w:val="32"/>
          <w:szCs w:val="32"/>
        </w:rPr>
        <w:t>邮箱：</w:t>
      </w:r>
      <w:r>
        <w:rPr>
          <w:rFonts w:hint="eastAsia" w:ascii="仿宋_GB2312" w:hAnsi="仿宋_GB2312" w:eastAsia="仿宋_GB2312" w:cs="仿宋_GB2312"/>
          <w:sz w:val="32"/>
          <w:szCs w:val="32"/>
        </w:rPr>
        <w:t>zszdzb</w:t>
      </w:r>
      <w:r>
        <w:rPr>
          <w:rFonts w:ascii="仿宋_GB2312" w:hAnsi="仿宋_GB2312" w:eastAsia="仿宋_GB2312" w:cs="仿宋_GB2312"/>
          <w:sz w:val="32"/>
          <w:szCs w:val="32"/>
        </w:rPr>
        <w:t>@zz.shandong.cn )。</w:t>
      </w:r>
    </w:p>
    <w:p>
      <w:pPr>
        <w:pStyle w:val="5"/>
        <w:widowControl/>
        <w:spacing w:beforeAutospacing="0" w:afterAutospacing="0" w:line="560" w:lineRule="exact"/>
        <w:ind w:firstLine="640" w:firstLineChars="200"/>
        <w:jc w:val="both"/>
        <w:rPr>
          <w:rFonts w:ascii="黑体" w:hAnsi="黑体" w:eastAsia="黑体" w:cs="仿宋_GB2312"/>
          <w:sz w:val="32"/>
          <w:szCs w:val="32"/>
        </w:rPr>
      </w:pPr>
      <w:r>
        <w:rPr>
          <w:rFonts w:hint="eastAsia" w:ascii="黑体" w:hAnsi="黑体" w:eastAsia="黑体" w:cs="仿宋_GB2312"/>
          <w:sz w:val="32"/>
          <w:szCs w:val="32"/>
        </w:rPr>
        <w:t>一、总体情况</w:t>
      </w:r>
    </w:p>
    <w:p>
      <w:pPr>
        <w:pStyle w:val="5"/>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2023年，张山子镇人民政府认真贯彻落实台儿庄区关于推进政府信息公开工作的具体要求，紧紧围绕中心工作和人民群众关注热点，扎实做好政府信息公开工作，不断增强政府工作透明度，深入推进阳光政府建设。</w:t>
      </w:r>
    </w:p>
    <w:p>
      <w:pPr>
        <w:pStyle w:val="5"/>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楷体_GB2312" w:hAnsi="仿宋_GB2312" w:eastAsia="楷体_GB2312" w:cs="仿宋_GB2312"/>
          <w:sz w:val="32"/>
          <w:szCs w:val="32"/>
        </w:rPr>
        <w:t>（一）主动公开情况。</w:t>
      </w:r>
      <w:r>
        <w:rPr>
          <w:rFonts w:hint="eastAsia" w:ascii="仿宋_GB2312" w:hAnsi="仿宋_GB2312" w:eastAsia="仿宋_GB2312" w:cs="仿宋_GB2312"/>
          <w:sz w:val="32"/>
          <w:szCs w:val="32"/>
        </w:rPr>
        <w:t>为确保公众第一时间了解到政府的政策方针和发展方向，张山子镇严格按照政府信息公开要求，通过线上线下相互结合的方式在台儿庄区人民政府门户网站、政府公示栏、宣传板、“山水人文秀 红耀张山子”微信公众号等渠道及时发布各项政府信息。2023年，主动在台儿庄区政务网站公开政府信息 55条，通过“山水人文秀 红耀张山子”微信公众号共发布信息1072条。</w:t>
      </w:r>
    </w:p>
    <w:p>
      <w:pPr>
        <w:spacing w:line="560" w:lineRule="exact"/>
        <w:ind w:firstLine="640" w:firstLineChars="200"/>
        <w:rPr>
          <w:rFonts w:ascii="仿宋_GB2312" w:hAnsi="仿宋_GB2312" w:eastAsia="仿宋_GB2312" w:cs="仿宋_GB2312"/>
          <w:kern w:val="0"/>
          <w:sz w:val="32"/>
          <w:szCs w:val="32"/>
          <w:lang w:bidi="ar"/>
        </w:rPr>
      </w:pPr>
      <w:r>
        <w:rPr>
          <w:rFonts w:hint="eastAsia" w:ascii="楷体_GB2312" w:hAnsi="仿宋_GB2312" w:eastAsia="楷体_GB2312" w:cs="仿宋_GB2312"/>
          <w:sz w:val="32"/>
          <w:szCs w:val="32"/>
        </w:rPr>
        <w:t>（二）依申请公开情况</w:t>
      </w:r>
      <w:r>
        <w:rPr>
          <w:rFonts w:hint="eastAsia" w:ascii="楷体_GB2312" w:hAnsi="仿宋_GB2312" w:eastAsia="楷体_GB2312" w:cs="仿宋_GB2312"/>
          <w:kern w:val="0"/>
          <w:sz w:val="32"/>
          <w:szCs w:val="32"/>
          <w:lang w:bidi="ar"/>
        </w:rPr>
        <w:t>。</w:t>
      </w:r>
      <w:r>
        <w:rPr>
          <w:rFonts w:hint="eastAsia" w:ascii="仿宋_GB2312" w:hAnsi="仿宋_GB2312" w:eastAsia="仿宋_GB2312" w:cs="仿宋_GB2312"/>
          <w:kern w:val="0"/>
          <w:sz w:val="32"/>
          <w:szCs w:val="32"/>
          <w:lang w:bidi="ar"/>
        </w:rPr>
        <w:t>2023年，我镇共受理依申请公开1件，以网站提交的形式，涉及农村水泥道路户户通方面，所提交信息公开申请件均按时答复。</w:t>
      </w:r>
    </w:p>
    <w:p>
      <w:pPr>
        <w:pStyle w:val="5"/>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楷体_GB2312" w:hAnsi="仿宋_GB2312" w:eastAsia="楷体_GB2312" w:cs="仿宋_GB2312"/>
          <w:sz w:val="32"/>
          <w:szCs w:val="32"/>
        </w:rPr>
        <w:t>（三）政府信息管理情况。</w:t>
      </w:r>
      <w:r>
        <w:rPr>
          <w:rFonts w:hint="eastAsia" w:ascii="仿宋_GB2312" w:hAnsi="仿宋_GB2312" w:eastAsia="仿宋_GB2312" w:cs="仿宋_GB2312"/>
          <w:sz w:val="32"/>
          <w:szCs w:val="32"/>
        </w:rPr>
        <w:t>一是明确职责，压实工作责任。成立政务公开工作领导小组，主要领导亲自抓，分管领导具体抓，党政办牵头负责，明确审查程序和责任，加强对信息发布的审核、更新及管理。二是完善制度，规范工作程序。结合新时期、新要求，不断健全完善本镇政务公开等各项制度，进一步规范政府信息发布协调、保密审查机制、规范依申请公开等流程，确保信息公开工作有据可依，有制可循。三是组建队伍，加强人员培训。组织相关人员开展《中华人民共和国政府信息公开条例》等政府信息公开相关法律法规专题培训，熟练掌握业务技能，切实提升公开质量和实效。</w:t>
      </w:r>
    </w:p>
    <w:p>
      <w:pPr>
        <w:pStyle w:val="5"/>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楷体_GB2312" w:hAnsi="仿宋_GB2312" w:eastAsia="楷体_GB2312" w:cs="仿宋_GB2312"/>
          <w:sz w:val="32"/>
          <w:szCs w:val="32"/>
        </w:rPr>
        <w:t>（四）政府信息公开平台建设情况。</w:t>
      </w:r>
      <w:r>
        <w:rPr>
          <w:rFonts w:hint="eastAsia" w:ascii="仿宋_GB2312" w:hAnsi="仿宋_GB2312" w:eastAsia="仿宋_GB2312" w:cs="仿宋_GB2312"/>
          <w:sz w:val="32"/>
          <w:szCs w:val="32"/>
        </w:rPr>
        <w:t>一是网站公开。借助台儿庄区政务服务网开设的“政府信息公开专栏”，及时完善我镇信息公开指南和目录等相关信息。二是会议、公示栏公开。镇党委、政府发布的各类正式文件，一律按照程序确定文件公开属性，公开属性为公开发布的文件，全部通过OA系统流转至村级，并通过会议、公示专栏、微信群等进行公示。三是“山水人文秀 红耀张山子”微信公众号公开。将政府各项工作和最新政策及时公开宣传，做到应公开尽公开，应宣传尽宣传。</w:t>
      </w:r>
    </w:p>
    <w:p>
      <w:pPr>
        <w:pStyle w:val="5"/>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楷体_GB2312" w:hAnsi="仿宋_GB2312" w:eastAsia="楷体_GB2312" w:cs="仿宋_GB2312"/>
          <w:sz w:val="32"/>
          <w:szCs w:val="32"/>
        </w:rPr>
        <w:t>（五）监督保障情况。</w:t>
      </w:r>
      <w:r>
        <w:rPr>
          <w:rFonts w:hint="eastAsia" w:ascii="仿宋_GB2312" w:hAnsi="仿宋_GB2312" w:eastAsia="仿宋_GB2312" w:cs="仿宋_GB2312"/>
          <w:sz w:val="32"/>
          <w:szCs w:val="32"/>
        </w:rPr>
        <w:t>一是多种监督评议方式并行。公开投诉电话，畅通群众来信、来电、来访等，及时进行反馈回复，群众满意度高。二是定期进行自查自纠。检查政府信息公开程序是否规范，已公开的信息分类是否准确、信息发布是否及时，不断提升政务公开质效。三是按要求定期公开政府信息公开工作考核、社会评价和责任追究情况。主动接受监督，对发现的问题及时整改落实。在应对社会评议方面，采取积极态度，确保对外公开的信息，有政策支持、有数据支撑、有措施应对。2023年，张山子镇未出现因信息公开不到位需要进行责任追究的情况。</w:t>
      </w:r>
    </w:p>
    <w:p>
      <w:pPr>
        <w:pStyle w:val="5"/>
        <w:widowControl/>
        <w:spacing w:beforeAutospacing="0" w:afterAutospacing="0" w:line="560" w:lineRule="exact"/>
        <w:ind w:firstLine="640" w:firstLineChars="200"/>
        <w:jc w:val="both"/>
        <w:rPr>
          <w:rFonts w:ascii="黑体" w:hAnsi="黑体" w:eastAsia="黑体" w:cs="仿宋_GB2312"/>
          <w:sz w:val="32"/>
          <w:szCs w:val="32"/>
        </w:rPr>
      </w:pPr>
      <w:r>
        <w:rPr>
          <w:rFonts w:hint="eastAsia" w:ascii="黑体" w:hAnsi="黑体" w:eastAsia="黑体" w:cs="仿宋_GB2312"/>
          <w:sz w:val="32"/>
          <w:szCs w:val="32"/>
        </w:rPr>
        <w:t>二、主动公开政府信息情况</w:t>
      </w:r>
    </w:p>
    <w:tbl>
      <w:tblPr>
        <w:tblStyle w:val="6"/>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Calibri" w:eastAsia="仿宋_GB2312" w:cs="Calibri"/>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Calibri" w:eastAsia="仿宋_GB2312" w:cs="Calibri"/>
                <w:color w:val="000000" w:themeColor="text1"/>
                <w:kern w:val="0"/>
                <w:szCs w:val="21"/>
                <w14:textFill>
                  <w14:solidFill>
                    <w14:schemeClr w14:val="tx1"/>
                  </w14:solidFill>
                </w14:textFill>
              </w:rPr>
            </w:pPr>
            <w:r>
              <w:rPr>
                <w:rFonts w:hint="eastAsia" w:ascii="仿宋_GB2312" w:hAnsi="Calibri" w:eastAsia="仿宋_GB2312" w:cs="Calibri"/>
                <w:color w:val="000000" w:themeColor="text1"/>
                <w:kern w:val="0"/>
                <w:szCs w:val="21"/>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Calibri" w:eastAsia="仿宋_GB2312" w:cs="Calibri"/>
                <w:color w:val="000000" w:themeColor="text1"/>
                <w:kern w:val="0"/>
                <w:szCs w:val="21"/>
                <w14:textFill>
                  <w14:solidFill>
                    <w14:schemeClr w14:val="tx1"/>
                  </w14:solidFill>
                </w14:textFill>
              </w:rPr>
            </w:pPr>
            <w:r>
              <w:rPr>
                <w:rFonts w:hint="eastAsia" w:ascii="仿宋_GB2312" w:hAnsi="Calibri" w:eastAsia="仿宋_GB2312" w:cs="Calibri"/>
                <w:color w:val="000000" w:themeColor="text1"/>
                <w:kern w:val="0"/>
                <w:szCs w:val="21"/>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Calibri" w:eastAsia="仿宋_GB2312" w:cs="Calibri"/>
                <w:color w:val="000000" w:themeColor="text1"/>
                <w:kern w:val="0"/>
                <w:szCs w:val="21"/>
                <w14:textFill>
                  <w14:solidFill>
                    <w14:schemeClr w14:val="tx1"/>
                  </w14:solidFill>
                </w14:textFill>
              </w:rPr>
            </w:pPr>
            <w:r>
              <w:rPr>
                <w:rFonts w:hint="eastAsia" w:ascii="仿宋_GB2312" w:hAnsi="Calibri" w:eastAsia="仿宋_GB2312" w:cs="Calibri"/>
                <w:color w:val="000000" w:themeColor="text1"/>
                <w:kern w:val="0"/>
                <w:szCs w:val="21"/>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Calibri" w:eastAsia="仿宋_GB2312" w:cs="Calibri"/>
                <w:color w:val="000000" w:themeColor="text1"/>
                <w:kern w:val="0"/>
                <w:szCs w:val="21"/>
                <w14:textFill>
                  <w14:solidFill>
                    <w14:schemeClr w14:val="tx1"/>
                  </w14:solidFill>
                </w14:textFill>
              </w:rPr>
            </w:pPr>
            <w:r>
              <w:rPr>
                <w:rFonts w:hint="eastAsia" w:ascii="仿宋_GB2312" w:hAnsi="Calibri" w:eastAsia="仿宋_GB2312" w:cs="Calibri"/>
                <w:color w:val="000000" w:themeColor="text1"/>
                <w:kern w:val="0"/>
                <w:szCs w:val="21"/>
                <w14:textFill>
                  <w14:solidFill>
                    <w14:schemeClr w14:val="tx1"/>
                  </w14:solidFill>
                </w14:textFill>
              </w:rPr>
              <w:t>0</w:t>
            </w:r>
          </w:p>
        </w:tc>
      </w:tr>
    </w:tbl>
    <w:p>
      <w:pPr>
        <w:widowControl/>
        <w:spacing w:line="560" w:lineRule="exact"/>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三、收到和处理政府信息公开申请情况</w:t>
      </w:r>
    </w:p>
    <w:tbl>
      <w:tblPr>
        <w:tblStyle w:val="6"/>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5"/>
        <w:gridCol w:w="1699"/>
        <w:gridCol w:w="2973"/>
        <w:gridCol w:w="752"/>
        <w:gridCol w:w="540"/>
        <w:gridCol w:w="540"/>
        <w:gridCol w:w="720"/>
        <w:gridCol w:w="675"/>
        <w:gridCol w:w="526"/>
        <w:gridCol w:w="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87"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eastAsia="仿宋_GB2312"/>
                <w:szCs w:val="21"/>
              </w:rPr>
            </w:pPr>
            <w:r>
              <w:rPr>
                <w:rFonts w:hint="eastAsia" w:ascii="楷体_GB2312" w:hAnsi="黑体" w:eastAsia="楷体_GB2312"/>
                <w:kern w:val="0"/>
                <w:szCs w:val="21"/>
              </w:rPr>
              <w:t>等于第三项加第四项之和）</w:t>
            </w:r>
          </w:p>
        </w:tc>
        <w:tc>
          <w:tcPr>
            <w:tcW w:w="4454"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87" w:type="dxa"/>
            <w:gridSpan w:val="3"/>
            <w:vMerge w:val="continue"/>
            <w:shd w:val="clear" w:color="auto" w:fill="auto"/>
            <w:tcMar>
              <w:left w:w="108" w:type="dxa"/>
              <w:right w:w="108" w:type="dxa"/>
            </w:tcMar>
            <w:vAlign w:val="center"/>
          </w:tcPr>
          <w:p>
            <w:pPr>
              <w:jc w:val="center"/>
              <w:rPr>
                <w:rFonts w:ascii="仿宋_GB2312" w:eastAsia="仿宋_GB2312"/>
                <w:szCs w:val="21"/>
              </w:rPr>
            </w:pPr>
          </w:p>
        </w:tc>
        <w:tc>
          <w:tcPr>
            <w:tcW w:w="752"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001"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0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87" w:type="dxa"/>
            <w:gridSpan w:val="3"/>
            <w:vMerge w:val="continue"/>
            <w:shd w:val="clear" w:color="auto" w:fill="auto"/>
            <w:tcMar>
              <w:left w:w="108" w:type="dxa"/>
              <w:right w:w="108" w:type="dxa"/>
            </w:tcMar>
            <w:vAlign w:val="center"/>
          </w:tcPr>
          <w:p>
            <w:pPr>
              <w:jc w:val="center"/>
              <w:rPr>
                <w:rFonts w:ascii="仿宋_GB2312" w:eastAsia="仿宋_GB2312"/>
                <w:szCs w:val="21"/>
              </w:rPr>
            </w:pPr>
          </w:p>
        </w:tc>
        <w:tc>
          <w:tcPr>
            <w:tcW w:w="752" w:type="dxa"/>
            <w:vMerge w:val="continue"/>
            <w:shd w:val="clear" w:color="auto" w:fill="auto"/>
            <w:tcMar>
              <w:left w:w="108" w:type="dxa"/>
              <w:right w:w="108" w:type="dxa"/>
            </w:tcMar>
            <w:vAlign w:val="center"/>
          </w:tcPr>
          <w:p>
            <w:pPr>
              <w:jc w:val="center"/>
              <w:rPr>
                <w:rFonts w:ascii="黑体" w:hAnsi="黑体" w:eastAsia="黑体"/>
                <w:szCs w:val="21"/>
              </w:rPr>
            </w:pPr>
          </w:p>
        </w:tc>
        <w:tc>
          <w:tcPr>
            <w:tcW w:w="540"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40"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20"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675"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26"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701" w:type="dxa"/>
            <w:vMerge w:val="continue"/>
            <w:shd w:val="clear" w:color="auto" w:fill="auto"/>
            <w:tcMar>
              <w:left w:w="108" w:type="dxa"/>
              <w:right w:w="108" w:type="dxa"/>
            </w:tcMar>
            <w:vAlign w:val="center"/>
          </w:tcPr>
          <w:p>
            <w:pPr>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87"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87"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2"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4672"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3"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3"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3"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3"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3"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3"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3"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3"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3"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1</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3"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3"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3"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3"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3"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3"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3"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3"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3"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3"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4672"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87"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bl>
    <w:p>
      <w:pPr>
        <w:pStyle w:val="9"/>
        <w:widowControl/>
        <w:numPr>
          <w:ilvl w:val="0"/>
          <w:numId w:val="1"/>
        </w:numPr>
        <w:spacing w:line="560" w:lineRule="exact"/>
        <w:ind w:firstLineChars="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政府信息公开行政复议、行政诉讼情况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rPr>
            </w:pPr>
            <w:r>
              <w:rPr>
                <w:rFonts w:ascii="黑体" w:hAnsi="黑体" w:eastAsia="黑体"/>
                <w:kern w:val="0"/>
                <w:sz w:val="20"/>
              </w:rPr>
              <w:t>结果</w:t>
            </w:r>
          </w:p>
          <w:p>
            <w:pPr>
              <w:widowControl/>
              <w:ind w:left="-149" w:leftChars="-71" w:right="-170" w:rightChars="-81"/>
              <w:jc w:val="center"/>
              <w:rPr>
                <w:rFonts w:ascii="黑体" w:hAnsi="黑体" w:eastAsia="黑体"/>
              </w:rPr>
            </w:pPr>
            <w:r>
              <w:rPr>
                <w:rFonts w:ascii="黑体" w:hAnsi="黑体" w:eastAsia="黑体"/>
                <w:kern w:val="0"/>
                <w:sz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rPr>
            </w:pPr>
            <w:r>
              <w:rPr>
                <w:rFonts w:ascii="黑体" w:hAnsi="黑体" w:eastAsia="黑体"/>
                <w:kern w:val="0"/>
                <w:sz w:val="20"/>
              </w:rPr>
              <w:t>尚未</w:t>
            </w:r>
          </w:p>
          <w:p>
            <w:pPr>
              <w:widowControl/>
              <w:ind w:left="-118" w:leftChars="-56" w:right="-118" w:rightChars="-56"/>
              <w:jc w:val="center"/>
              <w:rPr>
                <w:rFonts w:ascii="黑体" w:hAnsi="黑体" w:eastAsia="黑体"/>
              </w:rPr>
            </w:pPr>
            <w:r>
              <w:rPr>
                <w:rFonts w:ascii="黑体" w:hAnsi="黑体" w:eastAsia="黑体"/>
                <w:kern w:val="0"/>
                <w:sz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rPr>
            </w:pPr>
            <w:r>
              <w:rPr>
                <w:rFonts w:ascii="黑体" w:hAnsi="黑体" w:eastAsia="黑体"/>
                <w:kern w:val="0"/>
                <w:sz w:val="20"/>
              </w:rPr>
              <w:t>总</w:t>
            </w:r>
          </w:p>
          <w:p>
            <w:pPr>
              <w:widowControl/>
              <w:spacing w:line="320" w:lineRule="exact"/>
              <w:jc w:val="center"/>
              <w:rPr>
                <w:rFonts w:ascii="黑体" w:hAnsi="黑体" w:eastAsia="黑体"/>
              </w:rPr>
            </w:pPr>
            <w:r>
              <w:rPr>
                <w:rFonts w:ascii="黑体" w:hAnsi="黑体" w:eastAsia="黑体"/>
                <w:kern w:val="0"/>
                <w:sz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rPr>
            </w:pPr>
            <w:r>
              <w:rPr>
                <w:rFonts w:ascii="黑体" w:hAnsi="黑体" w:eastAsia="黑体"/>
                <w:kern w:val="0"/>
                <w:sz w:val="20"/>
              </w:rPr>
              <w:t>其他</w:t>
            </w:r>
          </w:p>
          <w:p>
            <w:pPr>
              <w:widowControl/>
              <w:ind w:left="-126" w:leftChars="-60" w:right="-136" w:rightChars="-65"/>
              <w:jc w:val="center"/>
              <w:rPr>
                <w:rFonts w:ascii="黑体" w:hAnsi="黑体" w:eastAsia="黑体"/>
              </w:rPr>
            </w:pPr>
            <w:r>
              <w:rPr>
                <w:rFonts w:ascii="黑体" w:hAnsi="黑体" w:eastAsia="黑体"/>
                <w:kern w:val="0"/>
                <w:sz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rPr>
            </w:pPr>
            <w:r>
              <w:rPr>
                <w:rFonts w:ascii="黑体" w:hAnsi="黑体" w:eastAsia="黑体"/>
                <w:kern w:val="0"/>
                <w:sz w:val="20"/>
              </w:rPr>
              <w:t>尚未</w:t>
            </w:r>
          </w:p>
          <w:p>
            <w:pPr>
              <w:widowControl/>
              <w:ind w:left="-164" w:leftChars="-78" w:right="-153" w:rightChars="-73"/>
              <w:jc w:val="center"/>
              <w:rPr>
                <w:rFonts w:ascii="黑体" w:hAnsi="黑体" w:eastAsia="黑体"/>
              </w:rPr>
            </w:pPr>
            <w:r>
              <w:rPr>
                <w:rFonts w:ascii="黑体" w:hAnsi="黑体" w:eastAsia="黑体"/>
                <w:kern w:val="0"/>
                <w:sz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rPr>
            </w:pPr>
            <w:r>
              <w:rPr>
                <w:rFonts w:ascii="黑体" w:hAnsi="黑体" w:eastAsia="黑体"/>
                <w:kern w:val="0"/>
                <w:sz w:val="20"/>
              </w:rPr>
              <w:t>结果</w:t>
            </w:r>
          </w:p>
          <w:p>
            <w:pPr>
              <w:widowControl/>
              <w:ind w:left="-136" w:leftChars="-65" w:right="-124" w:rightChars="-59"/>
              <w:jc w:val="center"/>
              <w:rPr>
                <w:rFonts w:ascii="黑体" w:hAnsi="黑体" w:eastAsia="黑体"/>
              </w:rPr>
            </w:pPr>
            <w:r>
              <w:rPr>
                <w:rFonts w:ascii="黑体" w:hAnsi="黑体" w:eastAsia="黑体"/>
                <w:kern w:val="0"/>
                <w:sz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rPr>
            </w:pPr>
            <w:r>
              <w:rPr>
                <w:rFonts w:ascii="黑体" w:hAnsi="黑体" w:eastAsia="黑体"/>
                <w:kern w:val="0"/>
                <w:sz w:val="20"/>
              </w:rPr>
              <w:t>其他</w:t>
            </w:r>
          </w:p>
          <w:p>
            <w:pPr>
              <w:widowControl/>
              <w:ind w:left="-173" w:leftChars="-83" w:right="-134" w:rightChars="-64" w:hanging="1"/>
              <w:jc w:val="center"/>
              <w:rPr>
                <w:rFonts w:ascii="黑体" w:hAnsi="黑体" w:eastAsia="黑体"/>
              </w:rPr>
            </w:pPr>
            <w:r>
              <w:rPr>
                <w:rFonts w:ascii="黑体" w:hAnsi="黑体" w:eastAsia="黑体"/>
                <w:kern w:val="0"/>
                <w:sz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bl>
    <w:p>
      <w:pPr>
        <w:pStyle w:val="5"/>
        <w:widowControl/>
        <w:spacing w:beforeAutospacing="0" w:afterAutospacing="0" w:line="560" w:lineRule="exact"/>
        <w:ind w:firstLine="640" w:firstLineChars="200"/>
        <w:jc w:val="both"/>
        <w:rPr>
          <w:rFonts w:ascii="黑体" w:hAnsi="黑体" w:eastAsia="黑体" w:cs="仿宋_GB2312"/>
          <w:sz w:val="32"/>
          <w:szCs w:val="32"/>
        </w:rPr>
      </w:pPr>
      <w:r>
        <w:rPr>
          <w:rFonts w:hint="eastAsia" w:ascii="黑体" w:hAnsi="黑体" w:eastAsia="黑体" w:cs="仿宋_GB2312"/>
          <w:sz w:val="32"/>
          <w:szCs w:val="32"/>
        </w:rPr>
        <w:t>五、存在的主要问题及改进情况</w:t>
      </w:r>
    </w:p>
    <w:p>
      <w:pPr>
        <w:pStyle w:val="5"/>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楷体_GB2312" w:hAnsi="仿宋_GB2312" w:eastAsia="楷体_GB2312" w:cs="仿宋_GB2312"/>
          <w:sz w:val="32"/>
          <w:szCs w:val="32"/>
        </w:rPr>
        <w:t>（一）存在问题。</w:t>
      </w:r>
      <w:r>
        <w:rPr>
          <w:rFonts w:hint="eastAsia" w:ascii="仿宋_GB2312" w:hAnsi="仿宋_GB2312" w:eastAsia="仿宋_GB2312" w:cs="仿宋_GB2312"/>
          <w:sz w:val="32"/>
          <w:szCs w:val="32"/>
        </w:rPr>
        <w:t>张山子镇认真落实执行政府信息公开工作，取得了一定的成绩，但还存在一些不足和薄弱环节：一是由于乡镇工作人员工作量大，负责政府信息和政务公开的人均是身兼数责，且乡镇人员变动较快，会出现工作衔接不到位，导致信息公开不够及时的情况。二是信息公开缺乏主动性，仅按规定公开相关事项，对于公开群众所需所想事项还要进一步加强完善，部分信息公开内容简单，缺乏一定创新性。</w:t>
      </w:r>
    </w:p>
    <w:p>
      <w:pPr>
        <w:pStyle w:val="5"/>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楷体_GB2312" w:hAnsi="仿宋_GB2312" w:eastAsia="楷体_GB2312" w:cs="仿宋_GB2312"/>
          <w:sz w:val="32"/>
          <w:szCs w:val="32"/>
        </w:rPr>
        <w:t>（二）改进措施。</w:t>
      </w:r>
      <w:r>
        <w:rPr>
          <w:rFonts w:hint="eastAsia" w:ascii="仿宋_GB2312" w:hAnsi="仿宋_GB2312" w:eastAsia="仿宋_GB2312" w:cs="仿宋_GB2312"/>
          <w:sz w:val="32"/>
          <w:szCs w:val="32"/>
        </w:rPr>
        <w:t>一是抓好队伍建设，加大主动公开力度。加派人手，设置专人负责，实行AB角协调推进工作，定期进行相关业务培训；进一步贯彻上级有关部门有关信息公开要点中明确涉及乡镇需公开任务，对于群众普遍关心、涉及群众切身利益的重点领域，加大公开力度，积极回应社会关切。二是统一思想认识，规范工作流程。进一步整理镇政府信息，及时提供，定期维护，注重提升公开服务能力，确保政府信息公开工作能按照既定的工作流程有效运作，公众能够方便查询。三是发挥公开创新力，强化宣传引导。创新政务公开工作的形式、途径、方法，不断丰富信息公开的内容和方式，多展现张山子特色和亮点，进一步加大宣传和普及力度，增强广大群众积极参与和监督的意识，努力营造推进政务公开、加强软环境建设的良好社会氛围。</w:t>
      </w:r>
    </w:p>
    <w:p>
      <w:pPr>
        <w:pStyle w:val="5"/>
        <w:widowControl/>
        <w:spacing w:beforeAutospacing="0" w:afterAutospacing="0" w:line="560" w:lineRule="exact"/>
        <w:ind w:firstLine="640" w:firstLineChars="200"/>
        <w:jc w:val="both"/>
        <w:rPr>
          <w:rFonts w:ascii="黑体" w:hAnsi="黑体" w:eastAsia="黑体" w:cs="仿宋_GB2312"/>
          <w:sz w:val="32"/>
          <w:szCs w:val="32"/>
        </w:rPr>
      </w:pPr>
      <w:r>
        <w:rPr>
          <w:rFonts w:hint="eastAsia" w:ascii="黑体" w:hAnsi="黑体" w:eastAsia="黑体" w:cs="仿宋_GB2312"/>
          <w:sz w:val="32"/>
          <w:szCs w:val="32"/>
        </w:rPr>
        <w:t>六、其他需要报告的事项</w:t>
      </w:r>
    </w:p>
    <w:p>
      <w:pPr>
        <w:widowControl/>
        <w:spacing w:line="56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1.收取信息处理费情况。张山子镇共收到政府信息公开申请1件，依据《政府信息公开信息处理费管理办法》，未产生信息处理费</w:t>
      </w:r>
      <w:r>
        <w:rPr>
          <w:rFonts w:hint="eastAsia" w:ascii="仿宋_GB2312" w:hAnsi="仿宋_GB2312" w:eastAsia="仿宋_GB2312" w:cs="仿宋_GB2312"/>
          <w:kern w:val="0"/>
          <w:sz w:val="32"/>
          <w:szCs w:val="32"/>
          <w:lang w:eastAsia="zh-CN"/>
        </w:rPr>
        <w:t>。</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2.落实上级年度政务公开工作要点情况</w:t>
      </w:r>
      <w:r>
        <w:rPr>
          <w:rFonts w:hint="eastAsia" w:ascii="仿宋_GB2312" w:hAnsi="仿宋_GB2312" w:eastAsia="仿宋_GB2312" w:cs="仿宋_GB2312"/>
          <w:kern w:val="0"/>
          <w:sz w:val="32"/>
          <w:szCs w:val="32"/>
          <w:lang w:eastAsia="zh-CN"/>
        </w:rPr>
        <w:t>。张山子镇严格按照《台儿庄区人民政府办公室关于印发&lt;2023年台儿庄区政务公开工作要点实施方案&gt;的通知》要求，结合我镇工作实际，对2023年政务公开重点工作任务进行分工，科学制定工作要点，有序推进政务公开工作。</w:t>
      </w:r>
    </w:p>
    <w:p>
      <w:pPr>
        <w:widowControl/>
        <w:spacing w:line="56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3.人大代表建议和政协提案办理结果公开情况</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2023年，</w:t>
      </w:r>
      <w:r>
        <w:rPr>
          <w:rFonts w:hint="eastAsia" w:ascii="仿宋_GB2312" w:hAnsi="仿宋_GB2312" w:eastAsia="仿宋_GB2312" w:cs="仿宋_GB2312"/>
          <w:kern w:val="0"/>
          <w:sz w:val="32"/>
          <w:szCs w:val="32"/>
          <w:lang w:eastAsia="zh-CN"/>
        </w:rPr>
        <w:t>张山子镇</w:t>
      </w:r>
      <w:r>
        <w:rPr>
          <w:rFonts w:hint="eastAsia" w:ascii="仿宋_GB2312" w:hAnsi="仿宋_GB2312" w:eastAsia="仿宋_GB2312" w:cs="仿宋_GB2312"/>
          <w:kern w:val="0"/>
          <w:sz w:val="32"/>
          <w:szCs w:val="32"/>
        </w:rPr>
        <w:t>共主办人大代表建议2件、协办19件，主办市政协委员提案1件、协办14件，主办区政协委员提案2件、协办27件，均按规定时限办理答复</w:t>
      </w:r>
      <w:r>
        <w:rPr>
          <w:rFonts w:hint="eastAsia" w:ascii="仿宋_GB2312" w:hAnsi="仿宋_GB2312" w:eastAsia="仿宋_GB2312" w:cs="仿宋_GB2312"/>
          <w:kern w:val="0"/>
          <w:sz w:val="32"/>
          <w:szCs w:val="32"/>
          <w:lang w:eastAsia="zh-CN"/>
        </w:rPr>
        <w:t>。</w:t>
      </w:r>
      <w:r>
        <w:rPr>
          <w:rFonts w:ascii="仿宋_GB2312" w:hAnsi="宋体" w:eastAsia="仿宋_GB2312" w:cs="仿宋_GB2312"/>
          <w:i w:val="0"/>
          <w:iCs w:val="0"/>
          <w:caps w:val="0"/>
          <w:color w:val="000000"/>
          <w:spacing w:val="0"/>
          <w:sz w:val="32"/>
          <w:szCs w:val="32"/>
          <w:shd w:val="clear" w:fill="FFFFFF"/>
        </w:rPr>
        <w:t>依托“建议提案办理”专栏，对人大代表建议和政协提案办理结果进行集中公开，方便公众查询。</w:t>
      </w:r>
    </w:p>
    <w:p>
      <w:pPr>
        <w:widowControl/>
        <w:spacing w:line="56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4.政务公开工作创新情况：无</w:t>
      </w:r>
      <w:r>
        <w:rPr>
          <w:rFonts w:hint="eastAsia" w:ascii="仿宋_GB2312" w:hAnsi="仿宋_GB2312" w:eastAsia="仿宋_GB2312" w:cs="仿宋_GB2312"/>
          <w:kern w:val="0"/>
          <w:sz w:val="32"/>
          <w:szCs w:val="32"/>
          <w:lang w:eastAsia="zh-CN"/>
        </w:rPr>
        <w:t>。</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5.本行政机关政府信息公开工作年度报告数据统计需要说明的事项。报告中所列数据的统计期限</w:t>
      </w:r>
      <w:r>
        <w:rPr>
          <w:rFonts w:hint="eastAsia" w:ascii="仿宋_GB2312" w:hAnsi="仿宋_GB2312" w:eastAsia="仿宋_GB2312" w:cs="仿宋_GB2312"/>
          <w:kern w:val="0"/>
          <w:sz w:val="32"/>
          <w:szCs w:val="32"/>
          <w:lang w:eastAsia="zh-CN"/>
        </w:rPr>
        <w:t>自</w:t>
      </w:r>
      <w:r>
        <w:rPr>
          <w:rFonts w:hint="eastAsia" w:ascii="仿宋_GB2312" w:hAnsi="仿宋_GB2312" w:eastAsia="仿宋_GB2312" w:cs="仿宋_GB2312"/>
          <w:kern w:val="0"/>
          <w:sz w:val="32"/>
          <w:szCs w:val="32"/>
        </w:rPr>
        <w:t>2023年1月1日</w:t>
      </w:r>
      <w:r>
        <w:rPr>
          <w:rFonts w:hint="eastAsia" w:ascii="仿宋_GB2312" w:hAnsi="仿宋_GB2312" w:eastAsia="仿宋_GB2312" w:cs="仿宋_GB2312"/>
          <w:kern w:val="0"/>
          <w:sz w:val="32"/>
          <w:szCs w:val="32"/>
          <w:lang w:eastAsia="zh-CN"/>
        </w:rPr>
        <w:t>起</w:t>
      </w:r>
      <w:r>
        <w:rPr>
          <w:rFonts w:hint="eastAsia" w:ascii="仿宋_GB2312" w:hAnsi="仿宋_GB2312" w:eastAsia="仿宋_GB2312" w:cs="仿宋_GB2312"/>
          <w:kern w:val="0"/>
          <w:sz w:val="32"/>
          <w:szCs w:val="32"/>
        </w:rPr>
        <w:t>至2023年12月31日</w:t>
      </w:r>
      <w:r>
        <w:rPr>
          <w:rFonts w:hint="eastAsia" w:ascii="仿宋_GB2312" w:hAnsi="仿宋_GB2312" w:eastAsia="仿宋_GB2312" w:cs="仿宋_GB2312"/>
          <w:kern w:val="0"/>
          <w:sz w:val="32"/>
          <w:szCs w:val="32"/>
          <w:lang w:eastAsia="zh-CN"/>
        </w:rPr>
        <w:t>止</w:t>
      </w:r>
      <w:r>
        <w:rPr>
          <w:rFonts w:hint="eastAsia" w:ascii="仿宋_GB2312" w:hAnsi="仿宋_GB2312" w:eastAsia="仿宋_GB2312" w:cs="仿宋_GB2312"/>
          <w:kern w:val="0"/>
          <w:sz w:val="32"/>
          <w:szCs w:val="32"/>
        </w:rPr>
        <w:t>。</w:t>
      </w:r>
      <w:bookmarkStart w:id="10" w:name="_GoBack"/>
      <w:bookmarkEnd w:id="10"/>
    </w:p>
    <w:p>
      <w:pPr>
        <w:widowControl/>
        <w:spacing w:line="56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6.本行政机关认为需要报告的其他事项：无</w:t>
      </w:r>
      <w:r>
        <w:rPr>
          <w:rFonts w:hint="eastAsia" w:ascii="仿宋_GB2312" w:hAnsi="仿宋_GB2312" w:eastAsia="仿宋_GB2312" w:cs="仿宋_GB2312"/>
          <w:kern w:val="0"/>
          <w:sz w:val="32"/>
          <w:szCs w:val="32"/>
          <w:lang w:eastAsia="zh-CN"/>
        </w:rPr>
        <w:t>。</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7.其他有关文件专门要求通过政府信息公开工作年度报告予以报告的事项：无。</w:t>
      </w:r>
    </w:p>
    <w:p>
      <w:pPr>
        <w:widowControl/>
        <w:spacing w:line="560" w:lineRule="exact"/>
        <w:ind w:firstLine="480"/>
        <w:rPr>
          <w:rFonts w:ascii="仿宋_GB2312" w:hAnsi="仿宋_GB2312" w:eastAsia="仿宋_GB2312" w:cs="仿宋_GB2312"/>
          <w:kern w:val="0"/>
          <w:sz w:val="32"/>
          <w:szCs w:val="32"/>
        </w:rPr>
      </w:pPr>
    </w:p>
    <w:p>
      <w:pPr>
        <w:pStyle w:val="5"/>
        <w:widowControl/>
        <w:shd w:val="clear" w:color="auto" w:fill="FFFFFF"/>
        <w:spacing w:beforeAutospacing="0" w:afterAutospacing="0" w:line="560" w:lineRule="exact"/>
        <w:ind w:firstLine="420"/>
        <w:jc w:val="right"/>
        <w:rPr>
          <w:rFonts w:ascii="仿宋_GB2312" w:hAnsi="Ã¥Â¾Â®Ã¨Â½Â¯Ã©â€ºâ€¦Ã©Â»â€˜" w:eastAsia="仿宋_GB2312" w:cs="仿宋_GB2312"/>
          <w:color w:val="000000"/>
          <w:sz w:val="32"/>
          <w:szCs w:val="32"/>
          <w:shd w:val="clear" w:color="auto" w:fill="FFFFFF"/>
        </w:rPr>
      </w:pPr>
      <w:r>
        <w:rPr>
          <w:rFonts w:hint="eastAsia" w:ascii="仿宋_GB2312" w:hAnsi="Ã¥Â¾Â®Ã¨Â½Â¯Ã©â€ºâ€¦Ã©Â»â€˜" w:eastAsia="仿宋_GB2312" w:cs="仿宋_GB2312"/>
          <w:color w:val="000000"/>
          <w:sz w:val="32"/>
          <w:szCs w:val="32"/>
          <w:shd w:val="clear" w:color="auto" w:fill="FFFFFF"/>
        </w:rPr>
        <w:t>台儿庄区张山子镇人民政府</w:t>
      </w:r>
    </w:p>
    <w:p>
      <w:pPr>
        <w:pStyle w:val="5"/>
        <w:widowControl/>
        <w:spacing w:beforeAutospacing="0" w:afterAutospacing="0" w:line="560" w:lineRule="exact"/>
        <w:ind w:firstLine="640" w:firstLineChars="200"/>
        <w:jc w:val="right"/>
        <w:rPr>
          <w:rFonts w:ascii="仿宋_GB2312" w:hAnsi="仿宋_GB2312" w:eastAsia="仿宋_GB2312" w:cs="仿宋_GB2312"/>
          <w:sz w:val="32"/>
          <w:szCs w:val="32"/>
        </w:rPr>
      </w:pPr>
      <w:r>
        <w:rPr>
          <w:rFonts w:hint="eastAsia" w:ascii="仿宋_GB2312" w:hAnsi="Ã¥Â¾Â®Ã¨Â½Â¯Ã©â€ºâ€¦Ã©Â»â€˜" w:eastAsia="仿宋_GB2312" w:cs="仿宋_GB2312"/>
          <w:color w:val="000000"/>
          <w:sz w:val="32"/>
          <w:szCs w:val="32"/>
          <w:shd w:val="clear" w:color="auto" w:fill="FFFFFF"/>
        </w:rPr>
        <w:t>2024年1月1</w:t>
      </w:r>
      <w:r>
        <w:rPr>
          <w:rFonts w:hint="eastAsia" w:ascii="仿宋_GB2312" w:hAnsi="Ã¥Â¾Â®Ã¨Â½Â¯Ã©â€ºâ€¦Ã©Â»â€˜" w:eastAsia="仿宋_GB2312" w:cs="仿宋_GB2312"/>
          <w:color w:val="000000"/>
          <w:sz w:val="32"/>
          <w:szCs w:val="32"/>
          <w:shd w:val="clear" w:color="auto" w:fill="FFFFFF"/>
          <w:lang w:val="en-US" w:eastAsia="zh-CN"/>
        </w:rPr>
        <w:t>9</w:t>
      </w:r>
      <w:r>
        <w:rPr>
          <w:rFonts w:hint="eastAsia" w:ascii="仿宋_GB2312" w:hAnsi="Ã¥Â¾Â®Ã¨Â½Â¯Ã©â€ºâ€¦Ã©Â»â€˜" w:eastAsia="仿宋_GB2312" w:cs="仿宋_GB2312"/>
          <w:color w:val="000000"/>
          <w:sz w:val="32"/>
          <w:szCs w:val="32"/>
          <w:shd w:val="clear" w:color="auto" w:fill="FFFFFF"/>
        </w:rPr>
        <w:t>日</w:t>
      </w:r>
    </w:p>
    <w:sectPr>
      <w:pgSz w:w="11906" w:h="16838"/>
      <w:pgMar w:top="1985"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Ã¥Â¾Â®Ã¨Â½Â¯Ã©â€ºâ€¦Ã©Â»â€˜">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CE4812"/>
    <w:multiLevelType w:val="multilevel"/>
    <w:tmpl w:val="0DCE4812"/>
    <w:lvl w:ilvl="0" w:tentative="0">
      <w:start w:val="4"/>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0ZTk4MjQwMzZkZDAwNTljNTExY2Q3YzU3OWZhYjAifQ=="/>
  </w:docVars>
  <w:rsids>
    <w:rsidRoot w:val="004563BB"/>
    <w:rsid w:val="004563BB"/>
    <w:rsid w:val="00761B3C"/>
    <w:rsid w:val="00B26878"/>
    <w:rsid w:val="00DC124C"/>
    <w:rsid w:val="00F02430"/>
    <w:rsid w:val="03BA42AF"/>
    <w:rsid w:val="0E675753"/>
    <w:rsid w:val="15104696"/>
    <w:rsid w:val="195A1657"/>
    <w:rsid w:val="20EF0C19"/>
    <w:rsid w:val="25270F01"/>
    <w:rsid w:val="253E4BFC"/>
    <w:rsid w:val="28E03E9F"/>
    <w:rsid w:val="2C7D7EE8"/>
    <w:rsid w:val="3CE90CBE"/>
    <w:rsid w:val="3D2C2DB7"/>
    <w:rsid w:val="3D532EF0"/>
    <w:rsid w:val="3F3F2F0A"/>
    <w:rsid w:val="44BF35B5"/>
    <w:rsid w:val="44E61552"/>
    <w:rsid w:val="62A5709B"/>
    <w:rsid w:val="789C2C49"/>
    <w:rsid w:val="7A4C2D72"/>
    <w:rsid w:val="7A775BB7"/>
    <w:rsid w:val="7E512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1"/>
    <w:autoRedefine/>
    <w:qFormat/>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cs="Times New Roman"/>
      <w:kern w:val="0"/>
      <w:sz w:val="24"/>
    </w:rPr>
  </w:style>
  <w:style w:type="character" w:styleId="8">
    <w:name w:val="Hyperlink"/>
    <w:basedOn w:val="7"/>
    <w:autoRedefine/>
    <w:qFormat/>
    <w:uiPriority w:val="0"/>
    <w:rPr>
      <w:color w:val="0000FF"/>
      <w:u w:val="single"/>
    </w:rPr>
  </w:style>
  <w:style w:type="paragraph" w:styleId="9">
    <w:name w:val="List Paragraph"/>
    <w:basedOn w:val="1"/>
    <w:qFormat/>
    <w:uiPriority w:val="99"/>
    <w:pPr>
      <w:ind w:firstLine="420" w:firstLineChars="200"/>
    </w:pPr>
  </w:style>
  <w:style w:type="character" w:customStyle="1" w:styleId="10">
    <w:name w:val="页眉 字符"/>
    <w:basedOn w:val="7"/>
    <w:link w:val="4"/>
    <w:uiPriority w:val="0"/>
    <w:rPr>
      <w:rFonts w:asciiTheme="minorHAnsi" w:hAnsiTheme="minorHAnsi" w:eastAsiaTheme="minorEastAsia" w:cstheme="minorBidi"/>
      <w:kern w:val="2"/>
      <w:sz w:val="18"/>
      <w:szCs w:val="18"/>
    </w:rPr>
  </w:style>
  <w:style w:type="character" w:customStyle="1" w:styleId="11">
    <w:name w:val="页脚 字符"/>
    <w:basedOn w:val="7"/>
    <w:link w:val="3"/>
    <w:autoRedefine/>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532</Words>
  <Characters>3035</Characters>
  <Lines>25</Lines>
  <Paragraphs>7</Paragraphs>
  <TotalTime>20</TotalTime>
  <ScaleCrop>false</ScaleCrop>
  <LinksUpToDate>false</LinksUpToDate>
  <CharactersWithSpaces>3560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2024-01-17T07:51:00Z</dcterms:created>
  <dc:creator>Administrator</dc:creator>
  <cp:lastModifiedBy>Administrator</cp:lastModifiedBy>
  <dcterms:modified xsi:type="dcterms:W3CDTF">2024-02-20T07:01:46Z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1E9E9873F0FC4E4BA70360FD515BC0F8_13</vt:lpwstr>
  </property>
</Properties>
</file>