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1" w:after="0" w:afterAutospacing="0" w:line="315" w:lineRule="atLeast"/>
        <w:ind w:left="0" w:right="0" w:firstLine="420"/>
      </w:pPr>
      <w:r>
        <w:rPr>
          <w:rFonts w:hint="eastAsia" w:ascii="仿宋" w:hAnsi="仿宋" w:eastAsia="仿宋" w:cs="仿宋"/>
          <w:sz w:val="31"/>
          <w:szCs w:val="31"/>
          <w:lang w:val="en-US" w:eastAsia="zh-CN"/>
        </w:rPr>
        <w:t xml:space="preserve">  </w:t>
      </w:r>
      <w:r>
        <w:rPr>
          <w:rFonts w:ascii="仿宋" w:hAnsi="仿宋" w:eastAsia="仿宋" w:cs="仿宋"/>
          <w:sz w:val="31"/>
          <w:szCs w:val="31"/>
        </w:rPr>
        <w:t>本</w:t>
      </w:r>
      <w:r>
        <w:rPr>
          <w:rFonts w:hint="eastAsia" w:ascii="仿宋" w:hAnsi="仿宋" w:eastAsia="仿宋" w:cs="仿宋"/>
          <w:sz w:val="31"/>
          <w:szCs w:val="31"/>
        </w:rPr>
        <w:t>年度报告根据《中华人民共和国政府信息公开条例》(以下简称《条例》)、《山东省政府信息公开办法》（以下简称《办法》）和《国务院办公厅政府信息与政务公开办公室关于政府信息公开工作年度报告有关事项的通知》等精神要求，汇总202</w:t>
      </w:r>
      <w:r>
        <w:rPr>
          <w:rFonts w:hint="eastAsia" w:ascii="仿宋" w:hAnsi="仿宋" w:eastAsia="仿宋" w:cs="仿宋"/>
          <w:sz w:val="31"/>
          <w:szCs w:val="31"/>
          <w:lang w:val="en-US" w:eastAsia="zh-CN"/>
        </w:rPr>
        <w:t>2</w:t>
      </w:r>
      <w:r>
        <w:rPr>
          <w:rFonts w:hint="eastAsia" w:ascii="仿宋" w:hAnsi="仿宋" w:eastAsia="仿宋" w:cs="仿宋"/>
          <w:sz w:val="31"/>
          <w:szCs w:val="31"/>
        </w:rPr>
        <w:t>年度区交通运输局政务公开情况编制而成。报告包括总体情况，行政机关主动公开政府信息情况，行政机关收到和处理政府信息公开申请情况，因政府信息公开工作被申请行政复议、提起行政诉讼情况，政府信息公开工作存在的主要问题及改进情况，其他需要报告的事项6个部分。报告中所列数据的统计期限自202</w:t>
      </w:r>
      <w:r>
        <w:rPr>
          <w:rFonts w:hint="eastAsia" w:ascii="仿宋" w:hAnsi="仿宋" w:eastAsia="仿宋" w:cs="仿宋"/>
          <w:sz w:val="31"/>
          <w:szCs w:val="31"/>
          <w:lang w:val="en-US" w:eastAsia="zh-CN"/>
        </w:rPr>
        <w:t>2</w:t>
      </w:r>
      <w:r>
        <w:rPr>
          <w:rFonts w:hint="eastAsia" w:ascii="仿宋" w:hAnsi="仿宋" w:eastAsia="仿宋" w:cs="仿宋"/>
          <w:sz w:val="31"/>
          <w:szCs w:val="31"/>
        </w:rPr>
        <w:t>年1月1日起至202</w:t>
      </w:r>
      <w:r>
        <w:rPr>
          <w:rFonts w:hint="eastAsia" w:ascii="仿宋" w:hAnsi="仿宋" w:eastAsia="仿宋" w:cs="仿宋"/>
          <w:sz w:val="31"/>
          <w:szCs w:val="31"/>
          <w:lang w:val="en-US" w:eastAsia="zh-CN"/>
        </w:rPr>
        <w:t>2</w:t>
      </w:r>
      <w:r>
        <w:rPr>
          <w:rFonts w:hint="eastAsia" w:ascii="仿宋" w:hAnsi="仿宋" w:eastAsia="仿宋" w:cs="仿宋"/>
          <w:sz w:val="31"/>
          <w:szCs w:val="31"/>
        </w:rPr>
        <w:t>年12月31日止。本报告电子版在区台儿庄区政务门户网站（http://xxgk.tez.gov.cn/xxgknb/202</w:t>
      </w:r>
      <w:r>
        <w:rPr>
          <w:rFonts w:hint="eastAsia" w:ascii="仿宋" w:hAnsi="仿宋" w:eastAsia="仿宋" w:cs="仿宋"/>
          <w:sz w:val="31"/>
          <w:szCs w:val="31"/>
          <w:lang w:val="en-US" w:eastAsia="zh-CN"/>
        </w:rPr>
        <w:t>2</w:t>
      </w:r>
      <w:r>
        <w:rPr>
          <w:rFonts w:hint="eastAsia" w:ascii="仿宋" w:hAnsi="仿宋" w:eastAsia="仿宋" w:cs="仿宋"/>
          <w:sz w:val="31"/>
          <w:szCs w:val="31"/>
        </w:rPr>
        <w:t>nxxgknb/bmjzjxxgknb_202</w:t>
      </w:r>
      <w:r>
        <w:rPr>
          <w:rFonts w:hint="eastAsia" w:ascii="仿宋" w:hAnsi="仿宋" w:eastAsia="仿宋" w:cs="仿宋"/>
          <w:sz w:val="31"/>
          <w:szCs w:val="31"/>
          <w:lang w:val="en-US" w:eastAsia="zh-CN"/>
        </w:rPr>
        <w:t>2</w:t>
      </w:r>
      <w:r>
        <w:rPr>
          <w:rFonts w:hint="eastAsia" w:ascii="仿宋" w:hAnsi="仿宋" w:eastAsia="仿宋" w:cs="仿宋"/>
          <w:sz w:val="31"/>
          <w:szCs w:val="31"/>
        </w:rPr>
        <w:t>/），欢迎查阅。如对本报告有疑问，可与区交通运输局办公室联系。地址:台儿庄区文化路3199号，邮编:277400，电话:0632—8128100，电子邮箱:tezjtysj@zz.shandong.cn。</w:t>
      </w:r>
    </w:p>
    <w:p>
      <w:pPr>
        <w:pStyle w:val="2"/>
        <w:keepNext w:val="0"/>
        <w:keepLines w:val="0"/>
        <w:widowControl/>
        <w:suppressLineNumbers w:val="0"/>
        <w:spacing w:before="0" w:beforeAutospacing="1" w:after="0" w:afterAutospacing="0" w:line="315" w:lineRule="atLeast"/>
        <w:ind w:left="0" w:right="0" w:firstLine="420"/>
      </w:pPr>
      <w:r>
        <w:rPr>
          <w:rFonts w:ascii="华文细黑" w:hAnsi="华文细黑" w:eastAsia="华文细黑" w:cs="华文细黑"/>
          <w:b/>
          <w:sz w:val="31"/>
          <w:szCs w:val="31"/>
        </w:rPr>
        <w:t>一、总体情况</w:t>
      </w:r>
    </w:p>
    <w:p>
      <w:pPr>
        <w:pStyle w:val="2"/>
        <w:keepNext w:val="0"/>
        <w:keepLines w:val="0"/>
        <w:widowControl/>
        <w:suppressLineNumbers w:val="0"/>
        <w:spacing w:before="0" w:beforeAutospacing="1" w:after="0" w:afterAutospacing="0" w:line="315" w:lineRule="atLeast"/>
        <w:ind w:left="0" w:right="0" w:firstLine="420"/>
      </w:pPr>
      <w:r>
        <w:rPr>
          <w:rFonts w:hint="eastAsia" w:ascii="仿宋" w:hAnsi="仿宋" w:eastAsia="仿宋" w:cs="仿宋"/>
          <w:sz w:val="31"/>
          <w:szCs w:val="31"/>
        </w:rPr>
        <w:t>（一）加强组织领导，提高管理服务水平。区交通运输局一直高度重视政务公开工作，主动依法公开和依法申请公开工作。 将政务公开工作纳入领导班子分工，明确1名分管领导直接抓工作落实。局</w:t>
      </w:r>
      <w:r>
        <w:rPr>
          <w:rFonts w:hint="eastAsia" w:ascii="仿宋" w:hAnsi="仿宋" w:eastAsia="仿宋" w:cs="仿宋"/>
          <w:sz w:val="31"/>
          <w:szCs w:val="31"/>
          <w:lang w:val="en-US" w:eastAsia="zh-CN"/>
        </w:rPr>
        <w:t>行政办公室</w:t>
      </w:r>
      <w:r>
        <w:rPr>
          <w:rFonts w:hint="eastAsia" w:ascii="仿宋" w:hAnsi="仿宋" w:eastAsia="仿宋" w:cs="仿宋"/>
          <w:sz w:val="31"/>
          <w:szCs w:val="31"/>
        </w:rPr>
        <w:t>牵头具体负责政务公开、协调、落实等工作，并明确专人负责做好政务信息的报送和公开工作。</w:t>
      </w:r>
    </w:p>
    <w:p>
      <w:pPr>
        <w:pStyle w:val="2"/>
        <w:keepNext w:val="0"/>
        <w:keepLines w:val="0"/>
        <w:widowControl/>
        <w:suppressLineNumbers w:val="0"/>
        <w:spacing w:before="0" w:beforeAutospacing="1" w:after="0" w:afterAutospacing="0" w:line="315" w:lineRule="atLeast"/>
        <w:ind w:left="0" w:right="0" w:firstLine="420"/>
      </w:pPr>
      <w:r>
        <w:rPr>
          <w:rFonts w:hint="eastAsia" w:ascii="仿宋" w:hAnsi="仿宋" w:eastAsia="仿宋" w:cs="仿宋"/>
          <w:sz w:val="31"/>
          <w:szCs w:val="31"/>
        </w:rPr>
        <w:t>（二）完善制度建设，提高政务公开标准化水平。建立健全信息公开工作考核制度，实行信息月通报、年度总结通报制度，提高公开管理水平，推进了交通运输局政务信息公开制度化、规范化、长效化开展。按照《台儿庄区交通运输局政务信息工作方案》要求，严格按照主要领导审批、分管领导把关、科室负责、专人管理的长效管理机制，确保政务信息公开数量和质量。</w:t>
      </w:r>
    </w:p>
    <w:p>
      <w:pPr>
        <w:pStyle w:val="2"/>
        <w:keepNext w:val="0"/>
        <w:keepLines w:val="0"/>
        <w:widowControl/>
        <w:suppressLineNumbers w:val="0"/>
        <w:spacing w:before="0" w:beforeAutospacing="1" w:after="0" w:afterAutospacing="0" w:line="315" w:lineRule="atLeast"/>
        <w:ind w:left="0" w:right="0" w:firstLine="420"/>
      </w:pPr>
      <w:r>
        <w:rPr>
          <w:rFonts w:hint="eastAsia" w:ascii="仿宋" w:hAnsi="仿宋" w:eastAsia="仿宋" w:cs="仿宋"/>
          <w:sz w:val="31"/>
          <w:szCs w:val="31"/>
        </w:rPr>
        <w:t>（三）突出重点，切实增强信息工作实效。紧紧围绕全区交通运输系统工作重点，抓住本局工作亮点，针对公众关切，权威、准确、及时地发布相关信息。完善我局政务信息公开指南，细化信息公开目标，及时公开更新我局部门文件、人事信息、工作动态、权责清单、行政执法等方面信息，切实做到“公开是常态，不公开是例外”，实现决策公开、执行公开、管理公开、服务公开和结果公开。</w:t>
      </w:r>
    </w:p>
    <w:p>
      <w:pPr>
        <w:pStyle w:val="2"/>
        <w:keepNext w:val="0"/>
        <w:keepLines w:val="0"/>
        <w:widowControl/>
        <w:suppressLineNumbers w:val="0"/>
        <w:spacing w:before="0" w:beforeAutospacing="1" w:after="0" w:afterAutospacing="0" w:line="315" w:lineRule="atLeast"/>
        <w:ind w:left="0" w:right="0" w:firstLine="420"/>
      </w:pPr>
      <w:r>
        <w:rPr>
          <w:rFonts w:hint="eastAsia" w:ascii="仿宋" w:hAnsi="仿宋" w:eastAsia="仿宋" w:cs="仿宋"/>
          <w:sz w:val="31"/>
          <w:szCs w:val="31"/>
        </w:rPr>
        <w:t>（四）完善政务服务网络平台，推进行政许可及公共服务事项公开。一是推动公共服务事项清单公布和上网运行。截至目前：我局在山东政务服务网共公布依申请公共服务事项目录2</w:t>
      </w:r>
      <w:r>
        <w:rPr>
          <w:rFonts w:hint="eastAsia" w:ascii="仿宋" w:hAnsi="仿宋" w:eastAsia="仿宋" w:cs="仿宋"/>
          <w:sz w:val="31"/>
          <w:szCs w:val="31"/>
          <w:lang w:val="en-US" w:eastAsia="zh-CN"/>
        </w:rPr>
        <w:t>5</w:t>
      </w:r>
      <w:r>
        <w:rPr>
          <w:rFonts w:hint="eastAsia" w:ascii="仿宋" w:hAnsi="仿宋" w:eastAsia="仿宋" w:cs="仿宋"/>
          <w:sz w:val="31"/>
          <w:szCs w:val="31"/>
        </w:rPr>
        <w:t>项，其他权力清单2</w:t>
      </w:r>
      <w:r>
        <w:rPr>
          <w:rFonts w:hint="eastAsia" w:ascii="仿宋" w:hAnsi="仿宋" w:eastAsia="仿宋" w:cs="仿宋"/>
          <w:sz w:val="31"/>
          <w:szCs w:val="31"/>
          <w:lang w:val="en-US" w:eastAsia="zh-CN"/>
        </w:rPr>
        <w:t>7</w:t>
      </w:r>
      <w:r>
        <w:rPr>
          <w:rFonts w:hint="eastAsia" w:ascii="仿宋" w:hAnsi="仿宋" w:eastAsia="仿宋" w:cs="仿宋"/>
          <w:sz w:val="31"/>
          <w:szCs w:val="31"/>
        </w:rPr>
        <w:t>项。并完善了实施清单要素、配置业务流程、提升网办深度，确保事项规范高效运行。二是我局在山东省政务服务事项管理系统中共认领</w:t>
      </w:r>
      <w:r>
        <w:rPr>
          <w:rFonts w:hint="eastAsia" w:ascii="仿宋" w:hAnsi="仿宋" w:eastAsia="仿宋" w:cs="仿宋"/>
          <w:sz w:val="31"/>
          <w:szCs w:val="31"/>
          <w:lang w:val="en-US" w:eastAsia="zh-CN"/>
        </w:rPr>
        <w:t>277</w:t>
      </w:r>
      <w:r>
        <w:rPr>
          <w:rFonts w:hint="eastAsia" w:ascii="仿宋" w:hAnsi="仿宋" w:eastAsia="仿宋" w:cs="仿宋"/>
          <w:sz w:val="31"/>
          <w:szCs w:val="31"/>
        </w:rPr>
        <w:t>项行政权力事项和公共服务事项</w:t>
      </w:r>
      <w:r>
        <w:rPr>
          <w:rFonts w:hint="eastAsia" w:ascii="仿宋" w:hAnsi="仿宋" w:eastAsia="仿宋" w:cs="仿宋"/>
          <w:sz w:val="31"/>
          <w:szCs w:val="31"/>
          <w:lang w:val="en-US" w:eastAsia="zh-CN"/>
        </w:rPr>
        <w:t>3项</w:t>
      </w:r>
      <w:r>
        <w:rPr>
          <w:rFonts w:hint="eastAsia" w:ascii="仿宋" w:hAnsi="仿宋" w:eastAsia="仿宋" w:cs="仿宋"/>
          <w:sz w:val="31"/>
          <w:szCs w:val="31"/>
        </w:rPr>
        <w:t>，并严格按照标准，修改完善事项要素，实现同一事项省、市、区同标准办理。</w:t>
      </w:r>
    </w:p>
    <w:p>
      <w:pPr>
        <w:pStyle w:val="2"/>
        <w:keepNext w:val="0"/>
        <w:keepLines w:val="0"/>
        <w:widowControl/>
        <w:suppressLineNumbers w:val="0"/>
        <w:spacing w:before="0" w:beforeAutospacing="1" w:after="0" w:afterAutospacing="0" w:line="315" w:lineRule="atLeast"/>
        <w:ind w:left="0" w:right="0" w:firstLine="420"/>
      </w:pPr>
      <w:r>
        <w:rPr>
          <w:rFonts w:hint="eastAsia" w:ascii="华文细黑" w:hAnsi="华文细黑" w:eastAsia="华文细黑" w:cs="华文细黑"/>
          <w:sz w:val="31"/>
          <w:szCs w:val="31"/>
        </w:rPr>
        <w:t>二、主动公开政府信息情况</w:t>
      </w:r>
    </w:p>
    <w:p>
      <w:pPr>
        <w:pStyle w:val="2"/>
        <w:keepNext w:val="0"/>
        <w:keepLines w:val="0"/>
        <w:widowControl/>
        <w:suppressLineNumbers w:val="0"/>
        <w:spacing w:before="0" w:beforeAutospacing="1" w:after="0" w:afterAutospacing="0" w:line="315" w:lineRule="atLeast"/>
        <w:ind w:left="0" w:right="0" w:firstLine="420"/>
      </w:pPr>
    </w:p>
    <w:tbl>
      <w:tblPr>
        <w:tblW w:w="8513"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
      <w:tblGrid>
        <w:gridCol w:w="2195"/>
        <w:gridCol w:w="2195"/>
        <w:gridCol w:w="2195"/>
        <w:gridCol w:w="1928"/>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570" w:hRule="atLeast"/>
        </w:trPr>
        <w:tc>
          <w:tcPr>
            <w:tcW w:w="8513" w:type="dxa"/>
            <w:gridSpan w:val="4"/>
            <w:tcBorders>
              <w:top w:val="single" w:color="auto" w:sz="6" w:space="0"/>
              <w:left w:val="single" w:color="auto" w:sz="6" w:space="0"/>
              <w:bottom w:val="single" w:color="auto" w:sz="6" w:space="0"/>
              <w:right w:val="single" w:color="000000" w:sz="6" w:space="0"/>
            </w:tcBorders>
            <w:shd w:val="clear" w:color="auto" w:fill="C6D9F1"/>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ascii="黑体" w:hAnsi="宋体" w:eastAsia="黑体" w:cs="黑体"/>
                <w:sz w:val="21"/>
                <w:szCs w:val="21"/>
                <w:bdr w:val="none" w:color="auto" w:sz="0" w:space="0"/>
              </w:rPr>
              <w:t>第二十条第（一）项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570" w:hRule="atLeast"/>
        </w:trPr>
        <w:tc>
          <w:tcPr>
            <w:tcW w:w="2195" w:type="dxa"/>
            <w:tcBorders>
              <w:top w:val="nil"/>
              <w:left w:val="single" w:color="auto" w:sz="6" w:space="0"/>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ascii="仿宋_GB2312" w:eastAsia="仿宋_GB2312" w:cs="仿宋_GB2312"/>
                <w:sz w:val="21"/>
                <w:szCs w:val="21"/>
                <w:bdr w:val="none" w:color="auto" w:sz="0" w:space="0"/>
              </w:rPr>
              <w:t>信息内容</w:t>
            </w:r>
          </w:p>
        </w:tc>
        <w:tc>
          <w:tcPr>
            <w:tcW w:w="2195" w:type="dxa"/>
            <w:tcBorders>
              <w:top w:val="nil"/>
              <w:left w:val="nil"/>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z w:val="21"/>
                <w:szCs w:val="21"/>
                <w:bdr w:val="none" w:color="auto" w:sz="0" w:space="0"/>
              </w:rPr>
              <w:t>本年制发件数</w:t>
            </w:r>
          </w:p>
        </w:tc>
        <w:tc>
          <w:tcPr>
            <w:tcW w:w="2195" w:type="dxa"/>
            <w:tcBorders>
              <w:top w:val="nil"/>
              <w:left w:val="nil"/>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z w:val="21"/>
                <w:szCs w:val="21"/>
                <w:bdr w:val="none" w:color="auto" w:sz="0" w:space="0"/>
              </w:rPr>
              <w:t>本年废止件数</w:t>
            </w:r>
          </w:p>
        </w:tc>
        <w:tc>
          <w:tcPr>
            <w:tcW w:w="1928" w:type="dxa"/>
            <w:tcBorders>
              <w:top w:val="nil"/>
              <w:left w:val="nil"/>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z w:val="21"/>
                <w:szCs w:val="21"/>
                <w:bdr w:val="none" w:color="auto" w:sz="0" w:space="0"/>
              </w:rPr>
              <w:t>现行有效件数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570" w:hRule="atLeast"/>
        </w:trPr>
        <w:tc>
          <w:tcPr>
            <w:tcW w:w="2195" w:type="dxa"/>
            <w:tcBorders>
              <w:top w:val="nil"/>
              <w:left w:val="single" w:color="auto" w:sz="6" w:space="0"/>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仿宋_GB2312" w:eastAsia="仿宋_GB2312" w:cs="仿宋_GB2312"/>
                <w:sz w:val="21"/>
                <w:szCs w:val="21"/>
                <w:bdr w:val="none" w:color="auto" w:sz="0" w:space="0"/>
              </w:rPr>
              <w:t>规章</w:t>
            </w:r>
          </w:p>
        </w:tc>
        <w:tc>
          <w:tcPr>
            <w:tcW w:w="2195" w:type="dxa"/>
            <w:tcBorders>
              <w:top w:val="nil"/>
              <w:left w:val="nil"/>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2195" w:type="dxa"/>
            <w:tcBorders>
              <w:top w:val="nil"/>
              <w:left w:val="nil"/>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1928" w:type="dxa"/>
            <w:tcBorders>
              <w:top w:val="nil"/>
              <w:left w:val="nil"/>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570" w:hRule="atLeast"/>
        </w:trPr>
        <w:tc>
          <w:tcPr>
            <w:tcW w:w="2195" w:type="dxa"/>
            <w:tcBorders>
              <w:top w:val="nil"/>
              <w:left w:val="single" w:color="auto" w:sz="6" w:space="0"/>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仿宋_GB2312" w:eastAsia="仿宋_GB2312" w:cs="仿宋_GB2312"/>
                <w:sz w:val="21"/>
                <w:szCs w:val="21"/>
                <w:bdr w:val="none" w:color="auto" w:sz="0" w:space="0"/>
              </w:rPr>
              <w:t>行政规范性文件</w:t>
            </w:r>
          </w:p>
        </w:tc>
        <w:tc>
          <w:tcPr>
            <w:tcW w:w="2195" w:type="dxa"/>
            <w:tcBorders>
              <w:top w:val="nil"/>
              <w:left w:val="nil"/>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2195" w:type="dxa"/>
            <w:tcBorders>
              <w:top w:val="nil"/>
              <w:left w:val="nil"/>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1928" w:type="dxa"/>
            <w:tcBorders>
              <w:top w:val="nil"/>
              <w:left w:val="nil"/>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570" w:hRule="atLeast"/>
        </w:trPr>
        <w:tc>
          <w:tcPr>
            <w:tcW w:w="8513" w:type="dxa"/>
            <w:gridSpan w:val="4"/>
            <w:tcBorders>
              <w:top w:val="nil"/>
              <w:left w:val="single" w:color="auto" w:sz="6" w:space="0"/>
              <w:bottom w:val="outset" w:color="auto" w:sz="6" w:space="0"/>
              <w:right w:val="single" w:color="000000"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1"/>
                <w:szCs w:val="21"/>
                <w:bdr w:val="none" w:color="auto" w:sz="0" w:space="0"/>
              </w:rPr>
              <w:t>第二十条第（五）项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570" w:hRule="atLeast"/>
        </w:trPr>
        <w:tc>
          <w:tcPr>
            <w:tcW w:w="2195" w:type="dxa"/>
            <w:tcBorders>
              <w:top w:val="nil"/>
              <w:left w:val="single" w:color="auto" w:sz="6" w:space="0"/>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z w:val="21"/>
                <w:szCs w:val="21"/>
                <w:bdr w:val="none" w:color="auto" w:sz="0" w:space="0"/>
              </w:rPr>
              <w:t>信息内容</w:t>
            </w:r>
          </w:p>
        </w:tc>
        <w:tc>
          <w:tcPr>
            <w:tcW w:w="6318" w:type="dxa"/>
            <w:gridSpan w:val="3"/>
            <w:tcBorders>
              <w:top w:val="single" w:color="auto" w:sz="6" w:space="0"/>
              <w:left w:val="nil"/>
              <w:bottom w:val="single" w:color="auto" w:sz="6" w:space="0"/>
              <w:right w:val="single" w:color="000000"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z w:val="21"/>
                <w:szCs w:val="21"/>
                <w:bdr w:val="none" w:color="auto" w:sz="0" w:space="0"/>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570" w:hRule="atLeast"/>
        </w:trPr>
        <w:tc>
          <w:tcPr>
            <w:tcW w:w="2195" w:type="dxa"/>
            <w:tcBorders>
              <w:top w:val="nil"/>
              <w:left w:val="single" w:color="auto" w:sz="6" w:space="0"/>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仿宋_GB2312" w:eastAsia="仿宋_GB2312" w:cs="仿宋_GB2312"/>
                <w:sz w:val="21"/>
                <w:szCs w:val="21"/>
                <w:bdr w:val="none" w:color="auto" w:sz="0" w:space="0"/>
              </w:rPr>
              <w:t>行政许可</w:t>
            </w:r>
          </w:p>
        </w:tc>
        <w:tc>
          <w:tcPr>
            <w:tcW w:w="6318" w:type="dxa"/>
            <w:gridSpan w:val="3"/>
            <w:tcBorders>
              <w:top w:val="nil"/>
              <w:left w:val="nil"/>
              <w:bottom w:val="outset" w:color="auto" w:sz="6" w:space="0"/>
              <w:right w:val="single" w:color="000000" w:sz="6" w:space="0"/>
            </w:tcBorders>
            <w:shd w:val="clear"/>
            <w:tcMar>
              <w:left w:w="105" w:type="dxa"/>
              <w:bottom w:w="0" w:type="dxa"/>
              <w:right w:w="10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570" w:hRule="atLeast"/>
        </w:trPr>
        <w:tc>
          <w:tcPr>
            <w:tcW w:w="8513" w:type="dxa"/>
            <w:gridSpan w:val="4"/>
            <w:tcBorders>
              <w:top w:val="nil"/>
              <w:left w:val="single" w:color="auto" w:sz="6" w:space="0"/>
              <w:bottom w:val="outset" w:color="auto" w:sz="6" w:space="0"/>
              <w:right w:val="single" w:color="000000"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1"/>
                <w:szCs w:val="21"/>
                <w:bdr w:val="none" w:color="auto" w:sz="0" w:space="0"/>
              </w:rPr>
              <w:t>第二十条第（六）项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570" w:hRule="atLeast"/>
        </w:trPr>
        <w:tc>
          <w:tcPr>
            <w:tcW w:w="2195" w:type="dxa"/>
            <w:tcBorders>
              <w:top w:val="nil"/>
              <w:left w:val="single" w:color="auto" w:sz="6" w:space="0"/>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z w:val="21"/>
                <w:szCs w:val="21"/>
                <w:bdr w:val="none" w:color="auto" w:sz="0" w:space="0"/>
              </w:rPr>
              <w:t>信息内容</w:t>
            </w:r>
          </w:p>
        </w:tc>
        <w:tc>
          <w:tcPr>
            <w:tcW w:w="6318" w:type="dxa"/>
            <w:gridSpan w:val="3"/>
            <w:tcBorders>
              <w:top w:val="single" w:color="auto" w:sz="6" w:space="0"/>
              <w:left w:val="nil"/>
              <w:bottom w:val="single" w:color="auto" w:sz="6" w:space="0"/>
              <w:right w:val="single" w:color="000000"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z w:val="21"/>
                <w:szCs w:val="21"/>
                <w:bdr w:val="none" w:color="auto" w:sz="0" w:space="0"/>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570" w:hRule="atLeast"/>
        </w:trPr>
        <w:tc>
          <w:tcPr>
            <w:tcW w:w="2195" w:type="dxa"/>
            <w:tcBorders>
              <w:top w:val="nil"/>
              <w:left w:val="single" w:color="auto" w:sz="6" w:space="0"/>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仿宋_GB2312" w:eastAsia="仿宋_GB2312" w:cs="仿宋_GB2312"/>
                <w:sz w:val="21"/>
                <w:szCs w:val="21"/>
                <w:bdr w:val="none" w:color="auto" w:sz="0" w:space="0"/>
              </w:rPr>
              <w:t>行政处罚</w:t>
            </w:r>
          </w:p>
        </w:tc>
        <w:tc>
          <w:tcPr>
            <w:tcW w:w="6318" w:type="dxa"/>
            <w:gridSpan w:val="3"/>
            <w:tcBorders>
              <w:top w:val="nil"/>
              <w:left w:val="nil"/>
              <w:bottom w:val="outset" w:color="auto" w:sz="6" w:space="0"/>
              <w:right w:val="single" w:color="000000" w:sz="6" w:space="0"/>
            </w:tcBorders>
            <w:shd w:val="clear"/>
            <w:tcMar>
              <w:left w:w="105" w:type="dxa"/>
              <w:bottom w:w="0" w:type="dxa"/>
              <w:right w:w="105" w:type="dxa"/>
            </w:tcMar>
            <w:vAlign w:val="center"/>
          </w:tcPr>
          <w:p>
            <w:pPr>
              <w:keepNext w:val="0"/>
              <w:keepLines w:val="0"/>
              <w:widowControl/>
              <w:suppressLineNumbers w:val="0"/>
              <w:wordWrap w:val="0"/>
              <w:jc w:val="left"/>
              <w:rPr>
                <w:rFonts w:hint="eastAsia" w:eastAsiaTheme="minorEastAsia"/>
                <w:lang w:val="en-US" w:eastAsia="zh-CN"/>
              </w:rPr>
            </w:pPr>
            <w:r>
              <w:rPr>
                <w:rFonts w:hint="eastAsia"/>
                <w:lang w:val="en-US" w:eastAsia="zh-CN"/>
              </w:rPr>
              <w:t>595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570" w:hRule="atLeast"/>
        </w:trPr>
        <w:tc>
          <w:tcPr>
            <w:tcW w:w="2195" w:type="dxa"/>
            <w:tcBorders>
              <w:top w:val="nil"/>
              <w:left w:val="single" w:color="auto" w:sz="6" w:space="0"/>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仿宋_GB2312" w:eastAsia="仿宋_GB2312" w:cs="仿宋_GB2312"/>
                <w:sz w:val="21"/>
                <w:szCs w:val="21"/>
                <w:bdr w:val="none" w:color="auto" w:sz="0" w:space="0"/>
              </w:rPr>
              <w:t>行政强制</w:t>
            </w:r>
          </w:p>
        </w:tc>
        <w:tc>
          <w:tcPr>
            <w:tcW w:w="6318" w:type="dxa"/>
            <w:gridSpan w:val="3"/>
            <w:tcBorders>
              <w:top w:val="nil"/>
              <w:left w:val="nil"/>
              <w:bottom w:val="outset" w:color="auto" w:sz="6" w:space="0"/>
              <w:right w:val="single" w:color="000000" w:sz="6" w:space="0"/>
            </w:tcBorders>
            <w:shd w:val="clear"/>
            <w:tcMar>
              <w:left w:w="105" w:type="dxa"/>
              <w:bottom w:w="0" w:type="dxa"/>
              <w:right w:w="105" w:type="dxa"/>
            </w:tcM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1</w:t>
            </w:r>
            <w:r>
              <w:rPr>
                <w:rFonts w:hint="eastAsia" w:ascii="宋体" w:hAnsi="宋体" w:eastAsia="宋体" w:cs="宋体"/>
                <w:kern w:val="0"/>
                <w:sz w:val="24"/>
                <w:szCs w:val="24"/>
                <w:bdr w:val="none" w:color="auto" w:sz="0" w:space="0"/>
                <w:lang w:val="en-US" w:eastAsia="zh-CN" w:bidi="ar"/>
              </w:rPr>
              <w:t>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570" w:hRule="atLeast"/>
        </w:trPr>
        <w:tc>
          <w:tcPr>
            <w:tcW w:w="8513" w:type="dxa"/>
            <w:gridSpan w:val="4"/>
            <w:tcBorders>
              <w:top w:val="nil"/>
              <w:left w:val="single" w:color="auto" w:sz="6" w:space="0"/>
              <w:bottom w:val="outset" w:color="auto" w:sz="6" w:space="0"/>
              <w:right w:val="single" w:color="000000"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1"/>
                <w:szCs w:val="21"/>
                <w:bdr w:val="none" w:color="auto" w:sz="0" w:space="0"/>
              </w:rPr>
              <w:t>第二十条第（八）项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570" w:hRule="atLeast"/>
        </w:trPr>
        <w:tc>
          <w:tcPr>
            <w:tcW w:w="2195" w:type="dxa"/>
            <w:tcBorders>
              <w:top w:val="nil"/>
              <w:left w:val="single" w:color="auto" w:sz="6" w:space="0"/>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z w:val="21"/>
                <w:szCs w:val="21"/>
                <w:bdr w:val="none" w:color="auto" w:sz="0" w:space="0"/>
              </w:rPr>
              <w:t>信息内容</w:t>
            </w:r>
          </w:p>
        </w:tc>
        <w:tc>
          <w:tcPr>
            <w:tcW w:w="6318" w:type="dxa"/>
            <w:gridSpan w:val="3"/>
            <w:tcBorders>
              <w:top w:val="single" w:color="auto" w:sz="6" w:space="0"/>
              <w:left w:val="nil"/>
              <w:bottom w:val="single" w:color="auto" w:sz="6" w:space="0"/>
              <w:right w:val="single" w:color="000000"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z w:val="21"/>
                <w:szCs w:val="21"/>
                <w:bdr w:val="none" w:color="auto" w:sz="0" w:space="0"/>
              </w:rPr>
              <w:t>本年收费金额（单位：万元）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570" w:hRule="atLeast"/>
        </w:trPr>
        <w:tc>
          <w:tcPr>
            <w:tcW w:w="2195" w:type="dxa"/>
            <w:tcBorders>
              <w:top w:val="nil"/>
              <w:left w:val="single" w:color="auto" w:sz="6" w:space="0"/>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仿宋_GB2312" w:eastAsia="仿宋_GB2312" w:cs="仿宋_GB2312"/>
                <w:sz w:val="21"/>
                <w:szCs w:val="21"/>
                <w:bdr w:val="none" w:color="auto" w:sz="0" w:space="0"/>
              </w:rPr>
              <w:t>行政事业性收费</w:t>
            </w:r>
          </w:p>
        </w:tc>
        <w:tc>
          <w:tcPr>
            <w:tcW w:w="6318" w:type="dxa"/>
            <w:gridSpan w:val="3"/>
            <w:tcBorders>
              <w:top w:val="nil"/>
              <w:left w:val="nil"/>
              <w:bottom w:val="outset" w:color="auto" w:sz="6" w:space="0"/>
              <w:right w:val="single" w:color="000000"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　</w:t>
            </w:r>
          </w:p>
        </w:tc>
      </w:tr>
    </w:tbl>
    <w:p>
      <w:pPr>
        <w:pStyle w:val="2"/>
        <w:keepNext w:val="0"/>
        <w:keepLines w:val="0"/>
        <w:widowControl/>
        <w:suppressLineNumbers w:val="0"/>
        <w:spacing w:before="0" w:beforeAutospacing="1" w:after="0" w:afterAutospacing="0" w:line="315" w:lineRule="atLeast"/>
        <w:ind w:left="0" w:right="0" w:firstLine="420"/>
      </w:pPr>
      <w:r>
        <w:rPr>
          <w:rFonts w:hint="eastAsia" w:ascii="华文细黑" w:hAnsi="华文细黑" w:eastAsia="华文细黑" w:cs="华文细黑"/>
          <w:sz w:val="31"/>
          <w:szCs w:val="31"/>
        </w:rPr>
        <w:t>三、收到和处理政府信息公开申请情况</w:t>
      </w:r>
    </w:p>
    <w:tbl>
      <w:tblPr>
        <w:tblW w:w="8516" w:type="dxa"/>
        <w:jc w:val="center"/>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
      <w:tblGrid>
        <w:gridCol w:w="632"/>
        <w:gridCol w:w="1461"/>
        <w:gridCol w:w="2503"/>
        <w:gridCol w:w="725"/>
        <w:gridCol w:w="506"/>
        <w:gridCol w:w="506"/>
        <w:gridCol w:w="641"/>
        <w:gridCol w:w="617"/>
        <w:gridCol w:w="503"/>
        <w:gridCol w:w="422"/>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420" w:hRule="atLeast"/>
          <w:jc w:val="center"/>
        </w:trPr>
        <w:tc>
          <w:tcPr>
            <w:tcW w:w="4596" w:type="dxa"/>
            <w:gridSpan w:val="3"/>
            <w:vMerge w:val="restart"/>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ascii="楷体_GB2312" w:eastAsia="楷体_GB2312" w:cs="楷体_GB2312"/>
                <w:sz w:val="21"/>
                <w:szCs w:val="21"/>
                <w:bdr w:val="none" w:color="auto" w:sz="0" w:space="0"/>
              </w:rPr>
              <w:t>（本列数据的勾稽关系为：第一项加第二项之和，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楷体_GB2312" w:eastAsia="楷体_GB2312" w:cs="楷体_GB2312"/>
                <w:sz w:val="21"/>
                <w:szCs w:val="21"/>
                <w:bdr w:val="none" w:color="auto" w:sz="0" w:space="0"/>
              </w:rPr>
              <w:t>等于第三项加第四项之和）</w:t>
            </w:r>
          </w:p>
        </w:tc>
        <w:tc>
          <w:tcPr>
            <w:tcW w:w="3920" w:type="dxa"/>
            <w:gridSpan w:val="7"/>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1"/>
                <w:szCs w:val="21"/>
                <w:bdr w:val="none" w:color="auto" w:sz="0" w:space="0"/>
              </w:rPr>
              <w:t>申请人情况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420" w:hRule="atLeast"/>
          <w:jc w:val="center"/>
        </w:trPr>
        <w:tc>
          <w:tcPr>
            <w:tcW w:w="4596" w:type="dxa"/>
            <w:gridSpan w:val="3"/>
            <w:vMerge w:val="continue"/>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rPr>
                <w:rFonts w:hint="eastAsia" w:ascii="宋体"/>
                <w:sz w:val="24"/>
                <w:szCs w:val="24"/>
              </w:rPr>
            </w:pPr>
          </w:p>
        </w:tc>
        <w:tc>
          <w:tcPr>
            <w:tcW w:w="725" w:type="dxa"/>
            <w:vMerge w:val="restart"/>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1"/>
                <w:szCs w:val="21"/>
                <w:bdr w:val="none" w:color="auto" w:sz="0" w:space="0"/>
              </w:rPr>
              <w:t>自然人</w:t>
            </w:r>
          </w:p>
        </w:tc>
        <w:tc>
          <w:tcPr>
            <w:tcW w:w="2773" w:type="dxa"/>
            <w:gridSpan w:val="5"/>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1"/>
                <w:szCs w:val="21"/>
                <w:bdr w:val="none" w:color="auto" w:sz="0" w:space="0"/>
              </w:rPr>
              <w:t>法人或其他组织</w:t>
            </w:r>
          </w:p>
        </w:tc>
        <w:tc>
          <w:tcPr>
            <w:tcW w:w="422" w:type="dxa"/>
            <w:vMerge w:val="restart"/>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1"/>
                <w:szCs w:val="21"/>
                <w:bdr w:val="none" w:color="auto" w:sz="0" w:space="0"/>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315" w:hRule="atLeast"/>
          <w:jc w:val="center"/>
        </w:trPr>
        <w:tc>
          <w:tcPr>
            <w:tcW w:w="4596" w:type="dxa"/>
            <w:gridSpan w:val="3"/>
            <w:vMerge w:val="continue"/>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rPr>
                <w:rFonts w:hint="eastAsia" w:ascii="宋体"/>
                <w:sz w:val="24"/>
                <w:szCs w:val="24"/>
              </w:rPr>
            </w:pPr>
          </w:p>
        </w:tc>
        <w:tc>
          <w:tcPr>
            <w:tcW w:w="725" w:type="dxa"/>
            <w:vMerge w:val="continue"/>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rPr>
                <w:rFonts w:hint="eastAsia" w:ascii="宋体"/>
                <w:sz w:val="24"/>
                <w:szCs w:val="24"/>
              </w:rPr>
            </w:pPr>
          </w:p>
        </w:tc>
        <w:tc>
          <w:tcPr>
            <w:tcW w:w="506"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5" w:right="-105" w:firstLine="0"/>
              <w:jc w:val="center"/>
            </w:pPr>
            <w:r>
              <w:rPr>
                <w:rFonts w:hint="eastAsia" w:ascii="黑体" w:hAnsi="宋体" w:eastAsia="黑体" w:cs="黑体"/>
                <w:sz w:val="21"/>
                <w:szCs w:val="21"/>
                <w:bdr w:val="none" w:color="auto" w:sz="0" w:space="0"/>
              </w:rPr>
              <w:t>商业企业</w:t>
            </w:r>
          </w:p>
        </w:tc>
        <w:tc>
          <w:tcPr>
            <w:tcW w:w="506"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5" w:right="-105"/>
              <w:jc w:val="center"/>
            </w:pPr>
            <w:r>
              <w:rPr>
                <w:rFonts w:hint="eastAsia" w:ascii="黑体" w:hAnsi="宋体" w:eastAsia="黑体" w:cs="黑体"/>
                <w:sz w:val="21"/>
                <w:szCs w:val="21"/>
                <w:bdr w:val="none" w:color="auto" w:sz="0" w:space="0"/>
              </w:rPr>
              <w:t>科研机构</w:t>
            </w:r>
          </w:p>
        </w:tc>
        <w:tc>
          <w:tcPr>
            <w:tcW w:w="641"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5" w:right="-105"/>
              <w:jc w:val="center"/>
            </w:pPr>
            <w:r>
              <w:rPr>
                <w:rFonts w:hint="eastAsia" w:ascii="黑体" w:hAnsi="宋体" w:eastAsia="黑体" w:cs="黑体"/>
                <w:sz w:val="21"/>
                <w:szCs w:val="21"/>
                <w:bdr w:val="none" w:color="auto" w:sz="0" w:space="0"/>
              </w:rPr>
              <w:t>社会公益组织</w:t>
            </w:r>
          </w:p>
        </w:tc>
        <w:tc>
          <w:tcPr>
            <w:tcW w:w="617"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5" w:right="-105" w:firstLine="0"/>
              <w:jc w:val="center"/>
            </w:pPr>
            <w:r>
              <w:rPr>
                <w:rFonts w:hint="eastAsia" w:ascii="黑体" w:hAnsi="宋体" w:eastAsia="黑体" w:cs="黑体"/>
                <w:sz w:val="21"/>
                <w:szCs w:val="21"/>
                <w:bdr w:val="none" w:color="auto" w:sz="0" w:space="0"/>
              </w:rPr>
              <w:t>法律服务机构</w:t>
            </w:r>
          </w:p>
        </w:tc>
        <w:tc>
          <w:tcPr>
            <w:tcW w:w="503"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60" w:right="-135"/>
              <w:jc w:val="center"/>
            </w:pPr>
            <w:r>
              <w:rPr>
                <w:rFonts w:hint="eastAsia" w:ascii="黑体" w:hAnsi="宋体" w:eastAsia="黑体" w:cs="黑体"/>
                <w:sz w:val="21"/>
                <w:szCs w:val="21"/>
                <w:bdr w:val="none" w:color="auto" w:sz="0" w:space="0"/>
              </w:rPr>
              <w:t>其他</w:t>
            </w:r>
          </w:p>
        </w:tc>
        <w:tc>
          <w:tcPr>
            <w:tcW w:w="422" w:type="dxa"/>
            <w:vMerge w:val="continue"/>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15" w:hRule="atLeast"/>
          <w:jc w:val="center"/>
        </w:trPr>
        <w:tc>
          <w:tcPr>
            <w:tcW w:w="4596" w:type="dxa"/>
            <w:gridSpan w:val="3"/>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黑体" w:hAnsi="宋体" w:eastAsia="黑体" w:cs="黑体"/>
                <w:sz w:val="21"/>
                <w:szCs w:val="21"/>
                <w:bdr w:val="none" w:color="auto" w:sz="0" w:space="0"/>
              </w:rPr>
              <w:t>一、</w:t>
            </w:r>
            <w:bookmarkStart w:id="0" w:name="_Hlk66973412"/>
            <w:r>
              <w:rPr>
                <w:rFonts w:hint="eastAsia" w:ascii="黑体" w:hAnsi="宋体" w:eastAsia="黑体" w:cs="黑体"/>
                <w:sz w:val="21"/>
                <w:szCs w:val="21"/>
                <w:bdr w:val="none" w:color="auto" w:sz="0" w:space="0"/>
              </w:rPr>
              <w:t>本年新收政府信息公开申请数量</w:t>
            </w:r>
            <w:bookmarkEnd w:id="0"/>
          </w:p>
        </w:tc>
        <w:tc>
          <w:tcPr>
            <w:tcW w:w="725"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06"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06"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641"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617"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03"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422"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15" w:hRule="atLeast"/>
          <w:jc w:val="center"/>
        </w:trPr>
        <w:tc>
          <w:tcPr>
            <w:tcW w:w="4596" w:type="dxa"/>
            <w:gridSpan w:val="3"/>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黑体" w:hAnsi="宋体" w:eastAsia="黑体" w:cs="黑体"/>
                <w:sz w:val="21"/>
                <w:szCs w:val="21"/>
                <w:bdr w:val="none" w:color="auto" w:sz="0" w:space="0"/>
              </w:rPr>
              <w:t>二、上年结转政府信息公开申请数量</w:t>
            </w:r>
          </w:p>
        </w:tc>
        <w:tc>
          <w:tcPr>
            <w:tcW w:w="725"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06"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06"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641"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617"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03"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422"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jc w:val="center"/>
        </w:trPr>
        <w:tc>
          <w:tcPr>
            <w:tcW w:w="632" w:type="dxa"/>
            <w:vMerge w:val="restart"/>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pPr>
            <w:r>
              <w:rPr>
                <w:rFonts w:hint="eastAsia" w:ascii="黑体" w:hAnsi="宋体" w:eastAsia="黑体" w:cs="黑体"/>
                <w:sz w:val="21"/>
                <w:szCs w:val="21"/>
                <w:bdr w:val="none" w:color="auto" w:sz="0" w:space="0"/>
              </w:rPr>
              <w:t>三、本年度办理结果</w:t>
            </w:r>
          </w:p>
        </w:tc>
        <w:tc>
          <w:tcPr>
            <w:tcW w:w="3964" w:type="dxa"/>
            <w:gridSpan w:val="2"/>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黑体" w:hAnsi="宋体" w:eastAsia="黑体" w:cs="黑体"/>
                <w:sz w:val="21"/>
                <w:szCs w:val="21"/>
                <w:bdr w:val="none" w:color="auto" w:sz="0" w:space="0"/>
              </w:rPr>
              <w:t>（一）予以公开</w:t>
            </w:r>
          </w:p>
        </w:tc>
        <w:tc>
          <w:tcPr>
            <w:tcW w:w="725"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06"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06"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641"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617"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03"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422"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jc w:val="center"/>
        </w:trPr>
        <w:tc>
          <w:tcPr>
            <w:tcW w:w="632" w:type="dxa"/>
            <w:vMerge w:val="continue"/>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rPr>
                <w:rFonts w:hint="eastAsia" w:ascii="宋体"/>
                <w:sz w:val="24"/>
                <w:szCs w:val="24"/>
              </w:rPr>
            </w:pPr>
          </w:p>
        </w:tc>
        <w:tc>
          <w:tcPr>
            <w:tcW w:w="3964" w:type="dxa"/>
            <w:gridSpan w:val="2"/>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黑体" w:hAnsi="宋体" w:eastAsia="黑体" w:cs="黑体"/>
                <w:sz w:val="21"/>
                <w:szCs w:val="21"/>
                <w:bdr w:val="none" w:color="auto" w:sz="0" w:space="0"/>
              </w:rPr>
              <w:t>（二）部分公开（</w:t>
            </w:r>
            <w:bookmarkStart w:id="1" w:name="_Hlk66973981"/>
            <w:r>
              <w:rPr>
                <w:rFonts w:hint="eastAsia" w:ascii="黑体" w:hAnsi="宋体" w:eastAsia="黑体" w:cs="黑体"/>
                <w:sz w:val="21"/>
                <w:szCs w:val="21"/>
                <w:bdr w:val="none" w:color="auto" w:sz="0" w:space="0"/>
              </w:rPr>
              <w:t>区分处理的，只计这一情形，不计其他情形</w:t>
            </w:r>
            <w:bookmarkEnd w:id="1"/>
            <w:r>
              <w:rPr>
                <w:rFonts w:hint="eastAsia" w:ascii="黑体" w:hAnsi="宋体" w:eastAsia="黑体" w:cs="黑体"/>
                <w:sz w:val="21"/>
                <w:szCs w:val="21"/>
                <w:bdr w:val="none" w:color="auto" w:sz="0" w:space="0"/>
              </w:rPr>
              <w:t>）</w:t>
            </w:r>
          </w:p>
        </w:tc>
        <w:tc>
          <w:tcPr>
            <w:tcW w:w="725"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06"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06"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641"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617"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03"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422"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450" w:hRule="atLeast"/>
          <w:jc w:val="center"/>
        </w:trPr>
        <w:tc>
          <w:tcPr>
            <w:tcW w:w="632" w:type="dxa"/>
            <w:vMerge w:val="continue"/>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rPr>
                <w:rFonts w:hint="eastAsia" w:ascii="宋体"/>
                <w:sz w:val="24"/>
                <w:szCs w:val="24"/>
              </w:rPr>
            </w:pPr>
          </w:p>
        </w:tc>
        <w:tc>
          <w:tcPr>
            <w:tcW w:w="1461" w:type="dxa"/>
            <w:vMerge w:val="restart"/>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105" w:right="0"/>
            </w:pPr>
            <w:r>
              <w:rPr>
                <w:rFonts w:hint="eastAsia" w:ascii="黑体" w:hAnsi="宋体" w:eastAsia="黑体" w:cs="黑体"/>
                <w:sz w:val="21"/>
                <w:szCs w:val="21"/>
                <w:bdr w:val="none" w:color="auto" w:sz="0" w:space="0"/>
              </w:rPr>
              <w:t>（三）不予公开</w:t>
            </w:r>
          </w:p>
        </w:tc>
        <w:tc>
          <w:tcPr>
            <w:tcW w:w="2503"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default" w:ascii="仿宋_GB2312" w:eastAsia="仿宋_GB2312" w:cs="仿宋_GB2312"/>
                <w:sz w:val="21"/>
                <w:szCs w:val="21"/>
                <w:bdr w:val="none" w:color="auto" w:sz="0" w:space="0"/>
              </w:rPr>
              <w:t>1.属于国家秘密</w:t>
            </w:r>
          </w:p>
        </w:tc>
        <w:tc>
          <w:tcPr>
            <w:tcW w:w="725"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06"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06"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641"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617"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03"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422"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450" w:hRule="atLeast"/>
          <w:jc w:val="center"/>
        </w:trPr>
        <w:tc>
          <w:tcPr>
            <w:tcW w:w="632" w:type="dxa"/>
            <w:vMerge w:val="continue"/>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rPr>
                <w:rFonts w:hint="eastAsia" w:ascii="宋体"/>
                <w:sz w:val="24"/>
                <w:szCs w:val="24"/>
              </w:rPr>
            </w:pPr>
          </w:p>
        </w:tc>
        <w:tc>
          <w:tcPr>
            <w:tcW w:w="1461" w:type="dxa"/>
            <w:vMerge w:val="continue"/>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rPr>
                <w:rFonts w:hint="eastAsia" w:ascii="宋体"/>
                <w:sz w:val="24"/>
                <w:szCs w:val="24"/>
              </w:rPr>
            </w:pPr>
          </w:p>
        </w:tc>
        <w:tc>
          <w:tcPr>
            <w:tcW w:w="2503"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default" w:ascii="仿宋_GB2312" w:eastAsia="仿宋_GB2312" w:cs="仿宋_GB2312"/>
                <w:sz w:val="21"/>
                <w:szCs w:val="21"/>
                <w:bdr w:val="none" w:color="auto" w:sz="0" w:space="0"/>
              </w:rPr>
              <w:t>2.</w:t>
            </w:r>
            <w:bookmarkStart w:id="2" w:name="_Hlk66974104"/>
            <w:r>
              <w:rPr>
                <w:rFonts w:hint="default" w:ascii="仿宋_GB2312" w:eastAsia="仿宋_GB2312" w:cs="仿宋_GB2312"/>
                <w:sz w:val="21"/>
                <w:szCs w:val="21"/>
                <w:bdr w:val="none" w:color="auto" w:sz="0" w:space="0"/>
              </w:rPr>
              <w:t>其他法律行政法规禁止公开</w:t>
            </w:r>
            <w:bookmarkEnd w:id="2"/>
          </w:p>
        </w:tc>
        <w:tc>
          <w:tcPr>
            <w:tcW w:w="725"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06"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06"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641"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617"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03"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422"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450" w:hRule="atLeast"/>
          <w:jc w:val="center"/>
        </w:trPr>
        <w:tc>
          <w:tcPr>
            <w:tcW w:w="632" w:type="dxa"/>
            <w:vMerge w:val="continue"/>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rPr>
                <w:rFonts w:hint="eastAsia" w:ascii="宋体"/>
                <w:sz w:val="24"/>
                <w:szCs w:val="24"/>
              </w:rPr>
            </w:pPr>
          </w:p>
        </w:tc>
        <w:tc>
          <w:tcPr>
            <w:tcW w:w="1461" w:type="dxa"/>
            <w:vMerge w:val="continue"/>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rPr>
                <w:rFonts w:hint="eastAsia" w:ascii="宋体"/>
                <w:sz w:val="24"/>
                <w:szCs w:val="24"/>
              </w:rPr>
            </w:pPr>
          </w:p>
        </w:tc>
        <w:tc>
          <w:tcPr>
            <w:tcW w:w="2503"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default" w:ascii="仿宋_GB2312" w:eastAsia="仿宋_GB2312" w:cs="仿宋_GB2312"/>
                <w:sz w:val="21"/>
                <w:szCs w:val="21"/>
                <w:bdr w:val="none" w:color="auto" w:sz="0" w:space="0"/>
              </w:rPr>
              <w:t>3.危及“三安全一稳定”</w:t>
            </w:r>
          </w:p>
        </w:tc>
        <w:tc>
          <w:tcPr>
            <w:tcW w:w="725"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06"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06"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641"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617"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03"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422"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450" w:hRule="atLeast"/>
          <w:jc w:val="center"/>
        </w:trPr>
        <w:tc>
          <w:tcPr>
            <w:tcW w:w="632" w:type="dxa"/>
            <w:vMerge w:val="continue"/>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rPr>
                <w:rFonts w:hint="eastAsia" w:ascii="宋体"/>
                <w:sz w:val="24"/>
                <w:szCs w:val="24"/>
              </w:rPr>
            </w:pPr>
          </w:p>
        </w:tc>
        <w:tc>
          <w:tcPr>
            <w:tcW w:w="1461" w:type="dxa"/>
            <w:vMerge w:val="continue"/>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rPr>
                <w:rFonts w:hint="eastAsia" w:ascii="宋体"/>
                <w:sz w:val="24"/>
                <w:szCs w:val="24"/>
              </w:rPr>
            </w:pPr>
          </w:p>
        </w:tc>
        <w:tc>
          <w:tcPr>
            <w:tcW w:w="2503"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default" w:ascii="仿宋_GB2312" w:eastAsia="仿宋_GB2312" w:cs="仿宋_GB2312"/>
                <w:sz w:val="21"/>
                <w:szCs w:val="21"/>
                <w:bdr w:val="none" w:color="auto" w:sz="0" w:space="0"/>
              </w:rPr>
              <w:t>4.</w:t>
            </w:r>
            <w:bookmarkStart w:id="3" w:name="_Hlk66974290"/>
            <w:r>
              <w:rPr>
                <w:rFonts w:hint="default" w:ascii="仿宋_GB2312" w:eastAsia="仿宋_GB2312" w:cs="仿宋_GB2312"/>
                <w:sz w:val="21"/>
                <w:szCs w:val="21"/>
                <w:bdr w:val="none" w:color="auto" w:sz="0" w:space="0"/>
              </w:rPr>
              <w:t>保护第三方合法权益</w:t>
            </w:r>
            <w:bookmarkEnd w:id="3"/>
          </w:p>
        </w:tc>
        <w:tc>
          <w:tcPr>
            <w:tcW w:w="725"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06"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06"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641"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617"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03"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422"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450" w:hRule="atLeast"/>
          <w:jc w:val="center"/>
        </w:trPr>
        <w:tc>
          <w:tcPr>
            <w:tcW w:w="632" w:type="dxa"/>
            <w:vMerge w:val="continue"/>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rPr>
                <w:rFonts w:hint="eastAsia" w:ascii="宋体"/>
                <w:sz w:val="24"/>
                <w:szCs w:val="24"/>
              </w:rPr>
            </w:pPr>
          </w:p>
        </w:tc>
        <w:tc>
          <w:tcPr>
            <w:tcW w:w="1461" w:type="dxa"/>
            <w:vMerge w:val="continue"/>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rPr>
                <w:rFonts w:hint="eastAsia" w:ascii="宋体"/>
                <w:sz w:val="24"/>
                <w:szCs w:val="24"/>
              </w:rPr>
            </w:pPr>
          </w:p>
        </w:tc>
        <w:tc>
          <w:tcPr>
            <w:tcW w:w="2503"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default" w:ascii="仿宋_GB2312" w:eastAsia="仿宋_GB2312" w:cs="仿宋_GB2312"/>
                <w:sz w:val="21"/>
                <w:szCs w:val="21"/>
                <w:bdr w:val="none" w:color="auto" w:sz="0" w:space="0"/>
              </w:rPr>
              <w:t>5.属于三类内部事务信息</w:t>
            </w:r>
          </w:p>
        </w:tc>
        <w:tc>
          <w:tcPr>
            <w:tcW w:w="725"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06"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06"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641"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617"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03"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422"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450" w:hRule="atLeast"/>
          <w:jc w:val="center"/>
        </w:trPr>
        <w:tc>
          <w:tcPr>
            <w:tcW w:w="632" w:type="dxa"/>
            <w:vMerge w:val="continue"/>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rPr>
                <w:rFonts w:hint="eastAsia" w:ascii="宋体"/>
                <w:sz w:val="24"/>
                <w:szCs w:val="24"/>
              </w:rPr>
            </w:pPr>
          </w:p>
        </w:tc>
        <w:tc>
          <w:tcPr>
            <w:tcW w:w="1461" w:type="dxa"/>
            <w:vMerge w:val="continue"/>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rPr>
                <w:rFonts w:hint="eastAsia" w:ascii="宋体"/>
                <w:sz w:val="24"/>
                <w:szCs w:val="24"/>
              </w:rPr>
            </w:pPr>
          </w:p>
        </w:tc>
        <w:tc>
          <w:tcPr>
            <w:tcW w:w="2503"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default" w:ascii="仿宋_GB2312" w:eastAsia="仿宋_GB2312" w:cs="仿宋_GB2312"/>
                <w:sz w:val="21"/>
                <w:szCs w:val="21"/>
                <w:bdr w:val="none" w:color="auto" w:sz="0" w:space="0"/>
              </w:rPr>
              <w:t>6.</w:t>
            </w:r>
            <w:bookmarkStart w:id="4" w:name="_Hlk66974555"/>
            <w:r>
              <w:rPr>
                <w:rFonts w:hint="default" w:ascii="仿宋_GB2312" w:eastAsia="仿宋_GB2312" w:cs="仿宋_GB2312"/>
                <w:sz w:val="21"/>
                <w:szCs w:val="21"/>
                <w:bdr w:val="none" w:color="auto" w:sz="0" w:space="0"/>
              </w:rPr>
              <w:t>属于四类过程性信息</w:t>
            </w:r>
            <w:bookmarkEnd w:id="4"/>
          </w:p>
        </w:tc>
        <w:tc>
          <w:tcPr>
            <w:tcW w:w="725"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06"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06"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641"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617"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03"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422"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450" w:hRule="atLeast"/>
          <w:jc w:val="center"/>
        </w:trPr>
        <w:tc>
          <w:tcPr>
            <w:tcW w:w="632" w:type="dxa"/>
            <w:vMerge w:val="continue"/>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rPr>
                <w:rFonts w:hint="eastAsia" w:ascii="宋体"/>
                <w:sz w:val="24"/>
                <w:szCs w:val="24"/>
              </w:rPr>
            </w:pPr>
          </w:p>
        </w:tc>
        <w:tc>
          <w:tcPr>
            <w:tcW w:w="1461" w:type="dxa"/>
            <w:vMerge w:val="continue"/>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rPr>
                <w:rFonts w:hint="eastAsia" w:ascii="宋体"/>
                <w:sz w:val="24"/>
                <w:szCs w:val="24"/>
              </w:rPr>
            </w:pPr>
          </w:p>
        </w:tc>
        <w:tc>
          <w:tcPr>
            <w:tcW w:w="2503"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default" w:ascii="仿宋_GB2312" w:eastAsia="仿宋_GB2312" w:cs="仿宋_GB2312"/>
                <w:sz w:val="21"/>
                <w:szCs w:val="21"/>
                <w:bdr w:val="none" w:color="auto" w:sz="0" w:space="0"/>
              </w:rPr>
              <w:t>7.属于行政执法案卷</w:t>
            </w:r>
          </w:p>
        </w:tc>
        <w:tc>
          <w:tcPr>
            <w:tcW w:w="725"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06"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06"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641"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617"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03"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422"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450" w:hRule="atLeast"/>
          <w:jc w:val="center"/>
        </w:trPr>
        <w:tc>
          <w:tcPr>
            <w:tcW w:w="632" w:type="dxa"/>
            <w:vMerge w:val="continue"/>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rPr>
                <w:rFonts w:hint="eastAsia" w:ascii="宋体"/>
                <w:sz w:val="24"/>
                <w:szCs w:val="24"/>
              </w:rPr>
            </w:pPr>
          </w:p>
        </w:tc>
        <w:tc>
          <w:tcPr>
            <w:tcW w:w="1461" w:type="dxa"/>
            <w:vMerge w:val="continue"/>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rPr>
                <w:rFonts w:hint="eastAsia" w:ascii="宋体"/>
                <w:sz w:val="24"/>
                <w:szCs w:val="24"/>
              </w:rPr>
            </w:pPr>
          </w:p>
        </w:tc>
        <w:tc>
          <w:tcPr>
            <w:tcW w:w="2503"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default" w:ascii="仿宋_GB2312" w:eastAsia="仿宋_GB2312" w:cs="仿宋_GB2312"/>
                <w:sz w:val="21"/>
                <w:szCs w:val="21"/>
                <w:bdr w:val="none" w:color="auto" w:sz="0" w:space="0"/>
              </w:rPr>
              <w:t>8.</w:t>
            </w:r>
            <w:bookmarkStart w:id="5" w:name="_Hlk66975211"/>
            <w:r>
              <w:rPr>
                <w:rFonts w:hint="default" w:ascii="仿宋_GB2312" w:eastAsia="仿宋_GB2312" w:cs="仿宋_GB2312"/>
                <w:sz w:val="21"/>
                <w:szCs w:val="21"/>
                <w:bdr w:val="none" w:color="auto" w:sz="0" w:space="0"/>
              </w:rPr>
              <w:t>属于行政查询事项</w:t>
            </w:r>
            <w:bookmarkEnd w:id="5"/>
          </w:p>
        </w:tc>
        <w:tc>
          <w:tcPr>
            <w:tcW w:w="725"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06"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06"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641"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617"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03"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422"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450" w:hRule="atLeast"/>
          <w:jc w:val="center"/>
        </w:trPr>
        <w:tc>
          <w:tcPr>
            <w:tcW w:w="632" w:type="dxa"/>
            <w:vMerge w:val="continue"/>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rPr>
                <w:rFonts w:hint="eastAsia" w:ascii="宋体"/>
                <w:sz w:val="24"/>
                <w:szCs w:val="24"/>
              </w:rPr>
            </w:pPr>
          </w:p>
        </w:tc>
        <w:tc>
          <w:tcPr>
            <w:tcW w:w="1461" w:type="dxa"/>
            <w:vMerge w:val="restart"/>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105" w:right="0"/>
            </w:pPr>
            <w:r>
              <w:rPr>
                <w:rFonts w:hint="eastAsia" w:ascii="黑体" w:hAnsi="宋体" w:eastAsia="黑体" w:cs="黑体"/>
                <w:sz w:val="21"/>
                <w:szCs w:val="21"/>
                <w:bdr w:val="none" w:color="auto" w:sz="0" w:space="0"/>
              </w:rPr>
              <w:t>（四）无法提供</w:t>
            </w:r>
          </w:p>
        </w:tc>
        <w:tc>
          <w:tcPr>
            <w:tcW w:w="2503"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default" w:ascii="仿宋_GB2312" w:eastAsia="仿宋_GB2312" w:cs="仿宋_GB2312"/>
                <w:sz w:val="21"/>
                <w:szCs w:val="21"/>
                <w:bdr w:val="none" w:color="auto" w:sz="0" w:space="0"/>
              </w:rPr>
              <w:t>1.本机关不掌握相关政府信息</w:t>
            </w:r>
          </w:p>
        </w:tc>
        <w:tc>
          <w:tcPr>
            <w:tcW w:w="725"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06"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06"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641"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617"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03"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422"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450" w:hRule="atLeast"/>
          <w:jc w:val="center"/>
        </w:trPr>
        <w:tc>
          <w:tcPr>
            <w:tcW w:w="632" w:type="dxa"/>
            <w:vMerge w:val="continue"/>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rPr>
                <w:rFonts w:hint="eastAsia" w:ascii="宋体"/>
                <w:sz w:val="24"/>
                <w:szCs w:val="24"/>
              </w:rPr>
            </w:pPr>
          </w:p>
        </w:tc>
        <w:tc>
          <w:tcPr>
            <w:tcW w:w="1461" w:type="dxa"/>
            <w:vMerge w:val="continue"/>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rPr>
                <w:rFonts w:hint="eastAsia" w:ascii="宋体"/>
                <w:sz w:val="24"/>
                <w:szCs w:val="24"/>
              </w:rPr>
            </w:pPr>
          </w:p>
        </w:tc>
        <w:tc>
          <w:tcPr>
            <w:tcW w:w="2503"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default" w:ascii="仿宋_GB2312" w:eastAsia="仿宋_GB2312" w:cs="仿宋_GB2312"/>
                <w:sz w:val="21"/>
                <w:szCs w:val="21"/>
                <w:bdr w:val="none" w:color="auto" w:sz="0" w:space="0"/>
              </w:rPr>
              <w:t>2.</w:t>
            </w:r>
            <w:bookmarkStart w:id="6" w:name="_Hlk66975392"/>
            <w:r>
              <w:rPr>
                <w:rFonts w:hint="default" w:ascii="仿宋_GB2312" w:eastAsia="仿宋_GB2312" w:cs="仿宋_GB2312"/>
                <w:sz w:val="21"/>
                <w:szCs w:val="21"/>
                <w:bdr w:val="none" w:color="auto" w:sz="0" w:space="0"/>
              </w:rPr>
              <w:t>没有现成信息需要另行制作</w:t>
            </w:r>
            <w:bookmarkEnd w:id="6"/>
          </w:p>
        </w:tc>
        <w:tc>
          <w:tcPr>
            <w:tcW w:w="725"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06"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06"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641"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617"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03"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422"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450" w:hRule="atLeast"/>
          <w:jc w:val="center"/>
        </w:trPr>
        <w:tc>
          <w:tcPr>
            <w:tcW w:w="632" w:type="dxa"/>
            <w:vMerge w:val="continue"/>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rPr>
                <w:rFonts w:hint="eastAsia" w:ascii="宋体"/>
                <w:sz w:val="24"/>
                <w:szCs w:val="24"/>
              </w:rPr>
            </w:pPr>
          </w:p>
        </w:tc>
        <w:tc>
          <w:tcPr>
            <w:tcW w:w="1461" w:type="dxa"/>
            <w:vMerge w:val="continue"/>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rPr>
                <w:rFonts w:hint="eastAsia" w:ascii="宋体"/>
                <w:sz w:val="24"/>
                <w:szCs w:val="24"/>
              </w:rPr>
            </w:pPr>
          </w:p>
        </w:tc>
        <w:tc>
          <w:tcPr>
            <w:tcW w:w="2503"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default" w:ascii="仿宋_GB2312" w:eastAsia="仿宋_GB2312" w:cs="仿宋_GB2312"/>
                <w:sz w:val="21"/>
                <w:szCs w:val="21"/>
                <w:bdr w:val="none" w:color="auto" w:sz="0" w:space="0"/>
              </w:rPr>
              <w:t>3.</w:t>
            </w:r>
            <w:bookmarkStart w:id="7" w:name="_Hlk66975466"/>
            <w:r>
              <w:rPr>
                <w:rFonts w:hint="default" w:ascii="仿宋_GB2312" w:eastAsia="仿宋_GB2312" w:cs="仿宋_GB2312"/>
                <w:sz w:val="21"/>
                <w:szCs w:val="21"/>
                <w:bdr w:val="none" w:color="auto" w:sz="0" w:space="0"/>
              </w:rPr>
              <w:t>补正后申请内容仍不明确</w:t>
            </w:r>
            <w:bookmarkEnd w:id="7"/>
          </w:p>
        </w:tc>
        <w:tc>
          <w:tcPr>
            <w:tcW w:w="725"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06"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06"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641"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617"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03"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422"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450" w:hRule="atLeast"/>
          <w:jc w:val="center"/>
        </w:trPr>
        <w:tc>
          <w:tcPr>
            <w:tcW w:w="632" w:type="dxa"/>
            <w:vMerge w:val="continue"/>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rPr>
                <w:rFonts w:hint="eastAsia" w:ascii="宋体"/>
                <w:sz w:val="24"/>
                <w:szCs w:val="24"/>
              </w:rPr>
            </w:pPr>
          </w:p>
        </w:tc>
        <w:tc>
          <w:tcPr>
            <w:tcW w:w="1461" w:type="dxa"/>
            <w:vMerge w:val="restart"/>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105" w:right="0"/>
            </w:pPr>
            <w:r>
              <w:rPr>
                <w:rFonts w:hint="eastAsia" w:ascii="黑体" w:hAnsi="宋体" w:eastAsia="黑体" w:cs="黑体"/>
                <w:sz w:val="21"/>
                <w:szCs w:val="21"/>
                <w:bdr w:val="none" w:color="auto" w:sz="0" w:space="0"/>
              </w:rPr>
              <w:t>（五）不予处理</w:t>
            </w:r>
          </w:p>
        </w:tc>
        <w:tc>
          <w:tcPr>
            <w:tcW w:w="2503"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default" w:ascii="仿宋_GB2312" w:eastAsia="仿宋_GB2312" w:cs="仿宋_GB2312"/>
                <w:sz w:val="21"/>
                <w:szCs w:val="21"/>
                <w:bdr w:val="none" w:color="auto" w:sz="0" w:space="0"/>
              </w:rPr>
              <w:t>1.</w:t>
            </w:r>
            <w:bookmarkStart w:id="8" w:name="_Hlk66975537"/>
            <w:r>
              <w:rPr>
                <w:rFonts w:hint="default" w:ascii="仿宋_GB2312" w:eastAsia="仿宋_GB2312" w:cs="仿宋_GB2312"/>
                <w:sz w:val="21"/>
                <w:szCs w:val="21"/>
                <w:bdr w:val="none" w:color="auto" w:sz="0" w:space="0"/>
              </w:rPr>
              <w:t>信访举报投诉类申请</w:t>
            </w:r>
            <w:bookmarkEnd w:id="8"/>
          </w:p>
        </w:tc>
        <w:tc>
          <w:tcPr>
            <w:tcW w:w="725"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06"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06"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641"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617"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03"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422"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450" w:hRule="atLeast"/>
          <w:jc w:val="center"/>
        </w:trPr>
        <w:tc>
          <w:tcPr>
            <w:tcW w:w="632" w:type="dxa"/>
            <w:vMerge w:val="continue"/>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rPr>
                <w:rFonts w:hint="eastAsia" w:ascii="宋体"/>
                <w:sz w:val="24"/>
                <w:szCs w:val="24"/>
              </w:rPr>
            </w:pPr>
          </w:p>
        </w:tc>
        <w:tc>
          <w:tcPr>
            <w:tcW w:w="1461" w:type="dxa"/>
            <w:vMerge w:val="continue"/>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rPr>
                <w:rFonts w:hint="eastAsia" w:ascii="宋体"/>
                <w:sz w:val="24"/>
                <w:szCs w:val="24"/>
              </w:rPr>
            </w:pPr>
          </w:p>
        </w:tc>
        <w:tc>
          <w:tcPr>
            <w:tcW w:w="2503"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default" w:ascii="仿宋_GB2312" w:eastAsia="仿宋_GB2312" w:cs="仿宋_GB2312"/>
                <w:sz w:val="21"/>
                <w:szCs w:val="21"/>
                <w:bdr w:val="none" w:color="auto" w:sz="0" w:space="0"/>
              </w:rPr>
              <w:t>2.重复申请</w:t>
            </w:r>
          </w:p>
        </w:tc>
        <w:tc>
          <w:tcPr>
            <w:tcW w:w="725"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06"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06"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641"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617"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03"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422"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450" w:hRule="atLeast"/>
          <w:jc w:val="center"/>
        </w:trPr>
        <w:tc>
          <w:tcPr>
            <w:tcW w:w="632" w:type="dxa"/>
            <w:vMerge w:val="continue"/>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rPr>
                <w:rFonts w:hint="eastAsia" w:ascii="宋体"/>
                <w:sz w:val="24"/>
                <w:szCs w:val="24"/>
              </w:rPr>
            </w:pPr>
          </w:p>
        </w:tc>
        <w:tc>
          <w:tcPr>
            <w:tcW w:w="1461" w:type="dxa"/>
            <w:vMerge w:val="continue"/>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rPr>
                <w:rFonts w:hint="eastAsia" w:ascii="宋体"/>
                <w:sz w:val="24"/>
                <w:szCs w:val="24"/>
              </w:rPr>
            </w:pPr>
          </w:p>
        </w:tc>
        <w:tc>
          <w:tcPr>
            <w:tcW w:w="2503"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default" w:ascii="仿宋_GB2312" w:eastAsia="仿宋_GB2312" w:cs="仿宋_GB2312"/>
                <w:sz w:val="21"/>
                <w:szCs w:val="21"/>
                <w:bdr w:val="none" w:color="auto" w:sz="0" w:space="0"/>
              </w:rPr>
              <w:t>3.要求提供公开出版物</w:t>
            </w:r>
          </w:p>
        </w:tc>
        <w:tc>
          <w:tcPr>
            <w:tcW w:w="725"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06"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06"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641"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617"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03"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422"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390" w:hRule="atLeast"/>
          <w:jc w:val="center"/>
        </w:trPr>
        <w:tc>
          <w:tcPr>
            <w:tcW w:w="632" w:type="dxa"/>
            <w:vMerge w:val="continue"/>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rPr>
                <w:rFonts w:hint="eastAsia" w:ascii="宋体"/>
                <w:sz w:val="24"/>
                <w:szCs w:val="24"/>
              </w:rPr>
            </w:pPr>
          </w:p>
        </w:tc>
        <w:tc>
          <w:tcPr>
            <w:tcW w:w="1461" w:type="dxa"/>
            <w:vMerge w:val="continue"/>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rPr>
                <w:rFonts w:hint="eastAsia" w:ascii="宋体"/>
                <w:sz w:val="24"/>
                <w:szCs w:val="24"/>
              </w:rPr>
            </w:pPr>
          </w:p>
        </w:tc>
        <w:tc>
          <w:tcPr>
            <w:tcW w:w="2503"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default" w:ascii="仿宋_GB2312" w:eastAsia="仿宋_GB2312" w:cs="仿宋_GB2312"/>
                <w:sz w:val="21"/>
                <w:szCs w:val="21"/>
                <w:bdr w:val="none" w:color="auto" w:sz="0" w:space="0"/>
              </w:rPr>
              <w:t>4.无正当理由大量反复申请</w:t>
            </w:r>
          </w:p>
        </w:tc>
        <w:tc>
          <w:tcPr>
            <w:tcW w:w="725"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06"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06"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641"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617"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03"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422"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jc w:val="center"/>
        </w:trPr>
        <w:tc>
          <w:tcPr>
            <w:tcW w:w="632" w:type="dxa"/>
            <w:vMerge w:val="continue"/>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rPr>
                <w:rFonts w:hint="eastAsia" w:ascii="宋体"/>
                <w:sz w:val="24"/>
                <w:szCs w:val="24"/>
              </w:rPr>
            </w:pPr>
          </w:p>
        </w:tc>
        <w:tc>
          <w:tcPr>
            <w:tcW w:w="1461" w:type="dxa"/>
            <w:vMerge w:val="continue"/>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rPr>
                <w:rFonts w:hint="eastAsia" w:ascii="宋体"/>
                <w:sz w:val="24"/>
                <w:szCs w:val="24"/>
              </w:rPr>
            </w:pPr>
          </w:p>
        </w:tc>
        <w:tc>
          <w:tcPr>
            <w:tcW w:w="2503"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pPr>
            <w:r>
              <w:rPr>
                <w:rFonts w:hint="default" w:ascii="仿宋_GB2312" w:eastAsia="仿宋_GB2312" w:cs="仿宋_GB2312"/>
                <w:sz w:val="21"/>
                <w:szCs w:val="21"/>
                <w:bdr w:val="none" w:color="auto" w:sz="0" w:space="0"/>
              </w:rPr>
              <w:t>5.要求行政机关确认或重新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210"/>
            </w:pPr>
            <w:r>
              <w:rPr>
                <w:rFonts w:hint="default" w:ascii="仿宋_GB2312" w:eastAsia="仿宋_GB2312" w:cs="仿宋_GB2312"/>
                <w:sz w:val="21"/>
                <w:szCs w:val="21"/>
                <w:bdr w:val="none" w:color="auto" w:sz="0" w:space="0"/>
              </w:rPr>
              <w:t>出具已获取信息</w:t>
            </w:r>
          </w:p>
        </w:tc>
        <w:tc>
          <w:tcPr>
            <w:tcW w:w="725"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06"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06"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641"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617"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03"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422"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jc w:val="center"/>
        </w:trPr>
        <w:tc>
          <w:tcPr>
            <w:tcW w:w="632" w:type="dxa"/>
            <w:vMerge w:val="continue"/>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rPr>
                <w:rFonts w:hint="eastAsia" w:ascii="宋体"/>
                <w:sz w:val="24"/>
                <w:szCs w:val="24"/>
              </w:rPr>
            </w:pPr>
          </w:p>
        </w:tc>
        <w:tc>
          <w:tcPr>
            <w:tcW w:w="1461" w:type="dxa"/>
            <w:vMerge w:val="restart"/>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pPr>
            <w:r>
              <w:rPr>
                <w:rFonts w:hint="eastAsia" w:ascii="黑体" w:hAnsi="宋体" w:eastAsia="黑体" w:cs="黑体"/>
                <w:sz w:val="21"/>
                <w:szCs w:val="21"/>
                <w:bdr w:val="none" w:color="auto" w:sz="0" w:space="0"/>
              </w:rPr>
              <w:t>（六）其他处理</w:t>
            </w:r>
          </w:p>
        </w:tc>
        <w:tc>
          <w:tcPr>
            <w:tcW w:w="2503" w:type="dxa"/>
            <w:tcBorders>
              <w:top w:val="single" w:color="auto" w:sz="6" w:space="0"/>
              <w:left w:val="single" w:color="auto" w:sz="6" w:space="0"/>
              <w:bottom w:val="single" w:color="auto" w:sz="6" w:space="0"/>
              <w:right w:val="single" w:color="auto" w:sz="6" w:space="0"/>
            </w:tcBorders>
            <w:shd w:val="clear"/>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pPr>
            <w:r>
              <w:rPr>
                <w:rFonts w:hint="default" w:ascii="仿宋_GB2312" w:eastAsia="仿宋_GB2312" w:cs="仿宋_GB2312"/>
                <w:sz w:val="21"/>
                <w:szCs w:val="21"/>
                <w:bdr w:val="none" w:color="auto" w:sz="0" w:space="0"/>
              </w:rPr>
              <w:t>1.申请人无正当理由逾期不补正、行政机关不再处理其政府信息公开申请</w:t>
            </w:r>
          </w:p>
        </w:tc>
        <w:tc>
          <w:tcPr>
            <w:tcW w:w="725"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06"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06"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641"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617"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03"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422"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jc w:val="center"/>
        </w:trPr>
        <w:tc>
          <w:tcPr>
            <w:tcW w:w="632" w:type="dxa"/>
            <w:vMerge w:val="continue"/>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rPr>
                <w:rFonts w:hint="eastAsia" w:ascii="宋体"/>
                <w:sz w:val="24"/>
                <w:szCs w:val="24"/>
              </w:rPr>
            </w:pPr>
          </w:p>
        </w:tc>
        <w:tc>
          <w:tcPr>
            <w:tcW w:w="1461" w:type="dxa"/>
            <w:vMerge w:val="continue"/>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rPr>
                <w:rFonts w:hint="eastAsia" w:ascii="宋体"/>
                <w:sz w:val="24"/>
                <w:szCs w:val="24"/>
              </w:rPr>
            </w:pPr>
          </w:p>
        </w:tc>
        <w:tc>
          <w:tcPr>
            <w:tcW w:w="2503" w:type="dxa"/>
            <w:tcBorders>
              <w:top w:val="single" w:color="auto" w:sz="6" w:space="0"/>
              <w:left w:val="single" w:color="auto" w:sz="6" w:space="0"/>
              <w:bottom w:val="single" w:color="auto" w:sz="6" w:space="0"/>
              <w:right w:val="single" w:color="auto" w:sz="6" w:space="0"/>
            </w:tcBorders>
            <w:shd w:val="clear"/>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pPr>
            <w:r>
              <w:rPr>
                <w:rFonts w:hint="default" w:ascii="仿宋_GB2312" w:eastAsia="仿宋_GB2312" w:cs="仿宋_GB2312"/>
                <w:sz w:val="21"/>
                <w:szCs w:val="21"/>
                <w:bdr w:val="none" w:color="auto" w:sz="0" w:space="0"/>
              </w:rPr>
              <w:t>2.申请人逾期未按收费通知要求缴纳费用、行政机关不再处理其政府信息公开申请</w:t>
            </w:r>
          </w:p>
        </w:tc>
        <w:tc>
          <w:tcPr>
            <w:tcW w:w="725"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06"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06"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641"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617"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03"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422"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jc w:val="center"/>
        </w:trPr>
        <w:tc>
          <w:tcPr>
            <w:tcW w:w="632" w:type="dxa"/>
            <w:vMerge w:val="continue"/>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rPr>
                <w:rFonts w:hint="eastAsia" w:ascii="宋体"/>
                <w:sz w:val="24"/>
                <w:szCs w:val="24"/>
              </w:rPr>
            </w:pPr>
          </w:p>
        </w:tc>
        <w:tc>
          <w:tcPr>
            <w:tcW w:w="1461" w:type="dxa"/>
            <w:vMerge w:val="continue"/>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rPr>
                <w:rFonts w:hint="eastAsia" w:ascii="宋体"/>
                <w:sz w:val="24"/>
                <w:szCs w:val="24"/>
              </w:rPr>
            </w:pPr>
          </w:p>
        </w:tc>
        <w:tc>
          <w:tcPr>
            <w:tcW w:w="2503" w:type="dxa"/>
            <w:tcBorders>
              <w:top w:val="single" w:color="auto" w:sz="6" w:space="0"/>
              <w:left w:val="single" w:color="auto" w:sz="6" w:space="0"/>
              <w:bottom w:val="single" w:color="auto" w:sz="6" w:space="0"/>
              <w:right w:val="single" w:color="auto" w:sz="6" w:space="0"/>
            </w:tcBorders>
            <w:shd w:val="clear"/>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pPr>
            <w:r>
              <w:rPr>
                <w:rFonts w:hint="default" w:ascii="仿宋_GB2312" w:eastAsia="仿宋_GB2312" w:cs="仿宋_GB2312"/>
                <w:sz w:val="21"/>
                <w:szCs w:val="21"/>
                <w:bdr w:val="none" w:color="auto" w:sz="0" w:space="0"/>
              </w:rPr>
              <w:t>3.其他</w:t>
            </w:r>
          </w:p>
        </w:tc>
        <w:tc>
          <w:tcPr>
            <w:tcW w:w="725"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06"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06"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641"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617"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03"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422"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jc w:val="center"/>
        </w:trPr>
        <w:tc>
          <w:tcPr>
            <w:tcW w:w="632" w:type="dxa"/>
            <w:vMerge w:val="continue"/>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rPr>
                <w:rFonts w:hint="eastAsia" w:ascii="宋体"/>
                <w:sz w:val="24"/>
                <w:szCs w:val="24"/>
              </w:rPr>
            </w:pPr>
          </w:p>
        </w:tc>
        <w:tc>
          <w:tcPr>
            <w:tcW w:w="3964" w:type="dxa"/>
            <w:gridSpan w:val="2"/>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pPr>
            <w:r>
              <w:rPr>
                <w:rFonts w:hint="eastAsia" w:ascii="黑体" w:hAnsi="宋体" w:eastAsia="黑体" w:cs="黑体"/>
                <w:sz w:val="21"/>
                <w:szCs w:val="21"/>
                <w:bdr w:val="none" w:color="auto" w:sz="0" w:space="0"/>
              </w:rPr>
              <w:t>（七）总计</w:t>
            </w:r>
          </w:p>
        </w:tc>
        <w:tc>
          <w:tcPr>
            <w:tcW w:w="725"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06"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06"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641"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617"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03"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422"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jc w:val="center"/>
        </w:trPr>
        <w:tc>
          <w:tcPr>
            <w:tcW w:w="4596" w:type="dxa"/>
            <w:gridSpan w:val="3"/>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pPr>
            <w:r>
              <w:rPr>
                <w:rFonts w:hint="eastAsia" w:ascii="黑体" w:hAnsi="宋体" w:eastAsia="黑体" w:cs="黑体"/>
                <w:sz w:val="21"/>
                <w:szCs w:val="21"/>
                <w:bdr w:val="none" w:color="auto" w:sz="0" w:space="0"/>
              </w:rPr>
              <w:t>四、结转下年度继续办理</w:t>
            </w:r>
          </w:p>
        </w:tc>
        <w:tc>
          <w:tcPr>
            <w:tcW w:w="725"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06"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06"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641"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617"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03"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422"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r>
    </w:tbl>
    <w:p>
      <w:pPr>
        <w:pStyle w:val="2"/>
        <w:keepNext w:val="0"/>
        <w:keepLines w:val="0"/>
        <w:widowControl/>
        <w:suppressLineNumbers w:val="0"/>
        <w:spacing w:before="0" w:beforeAutospacing="1" w:after="0" w:afterAutospacing="0" w:line="315" w:lineRule="atLeast"/>
        <w:ind w:left="0" w:right="0" w:firstLine="420"/>
      </w:pPr>
    </w:p>
    <w:p>
      <w:pPr>
        <w:pStyle w:val="2"/>
        <w:keepNext w:val="0"/>
        <w:keepLines w:val="0"/>
        <w:widowControl/>
        <w:suppressLineNumbers w:val="0"/>
        <w:spacing w:before="0" w:beforeAutospacing="1" w:after="0" w:afterAutospacing="0" w:line="315" w:lineRule="atLeast"/>
        <w:ind w:left="0" w:right="0" w:firstLine="0"/>
      </w:pPr>
      <w:r>
        <w:rPr>
          <w:rFonts w:hint="eastAsia" w:ascii="华文细黑" w:hAnsi="华文细黑" w:eastAsia="华文细黑" w:cs="华文细黑"/>
          <w:sz w:val="31"/>
          <w:szCs w:val="31"/>
        </w:rPr>
        <w:br w:type="textWrapping"/>
      </w:r>
      <w:r>
        <w:rPr>
          <w:rFonts w:hint="eastAsia" w:ascii="华文细黑" w:hAnsi="华文细黑" w:eastAsia="华文细黑" w:cs="华文细黑"/>
          <w:sz w:val="31"/>
          <w:szCs w:val="31"/>
        </w:rPr>
        <w:t>   四、政府信息公开行政复议、行政诉讼情况</w:t>
      </w:r>
    </w:p>
    <w:p>
      <w:pPr>
        <w:pStyle w:val="2"/>
        <w:keepNext w:val="0"/>
        <w:keepLines w:val="0"/>
        <w:widowControl/>
        <w:suppressLineNumbers w:val="0"/>
        <w:spacing w:before="0" w:beforeAutospacing="1" w:after="0" w:afterAutospacing="0" w:line="315" w:lineRule="atLeast"/>
        <w:ind w:left="0" w:right="0" w:firstLine="0"/>
      </w:pPr>
    </w:p>
    <w:tbl>
      <w:tblPr>
        <w:tblW w:w="8509" w:type="dxa"/>
        <w:jc w:val="center"/>
        <w:tblInd w:w="4"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
      <w:tblGrid>
        <w:gridCol w:w="567"/>
        <w:gridCol w:w="568"/>
        <w:gridCol w:w="569"/>
        <w:gridCol w:w="567"/>
        <w:gridCol w:w="651"/>
        <w:gridCol w:w="526"/>
        <w:gridCol w:w="568"/>
        <w:gridCol w:w="567"/>
        <w:gridCol w:w="567"/>
        <w:gridCol w:w="597"/>
        <w:gridCol w:w="568"/>
        <w:gridCol w:w="567"/>
        <w:gridCol w:w="567"/>
        <w:gridCol w:w="569"/>
        <w:gridCol w:w="491"/>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495" w:hRule="atLeast"/>
          <w:jc w:val="center"/>
        </w:trPr>
        <w:tc>
          <w:tcPr>
            <w:tcW w:w="2922" w:type="dxa"/>
            <w:gridSpan w:val="5"/>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19"/>
                <w:szCs w:val="19"/>
                <w:bdr w:val="none" w:color="auto" w:sz="0" w:space="0"/>
              </w:rPr>
              <w:t>行政复议</w:t>
            </w:r>
          </w:p>
        </w:tc>
        <w:tc>
          <w:tcPr>
            <w:tcW w:w="5587" w:type="dxa"/>
            <w:gridSpan w:val="10"/>
            <w:tcBorders>
              <w:top w:val="single" w:color="auto" w:sz="6" w:space="0"/>
              <w:left w:val="nil"/>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19"/>
                <w:szCs w:val="19"/>
                <w:bdr w:val="none" w:color="auto" w:sz="0" w:space="0"/>
              </w:rPr>
              <w:t>行政诉讼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540" w:hRule="atLeast"/>
          <w:jc w:val="center"/>
        </w:trPr>
        <w:tc>
          <w:tcPr>
            <w:tcW w:w="567" w:type="dxa"/>
            <w:vMerge w:val="restart"/>
            <w:tcBorders>
              <w:top w:val="nil"/>
              <w:left w:val="single" w:color="auto" w:sz="6" w:space="0"/>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50" w:right="-165"/>
              <w:jc w:val="center"/>
            </w:pPr>
            <w:r>
              <w:rPr>
                <w:rFonts w:hint="eastAsia" w:ascii="黑体" w:hAnsi="宋体" w:eastAsia="黑体" w:cs="黑体"/>
                <w:sz w:val="19"/>
                <w:szCs w:val="19"/>
                <w:bdr w:val="none" w:color="auto" w:sz="0" w:space="0"/>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50" w:right="-165"/>
              <w:jc w:val="center"/>
            </w:pPr>
            <w:r>
              <w:rPr>
                <w:rFonts w:hint="eastAsia" w:ascii="黑体" w:hAnsi="宋体" w:eastAsia="黑体" w:cs="黑体"/>
                <w:sz w:val="19"/>
                <w:szCs w:val="19"/>
                <w:bdr w:val="none" w:color="auto" w:sz="0" w:space="0"/>
              </w:rPr>
              <w:t>维持</w:t>
            </w:r>
          </w:p>
        </w:tc>
        <w:tc>
          <w:tcPr>
            <w:tcW w:w="568" w:type="dxa"/>
            <w:vMerge w:val="restart"/>
            <w:tcBorders>
              <w:top w:val="nil"/>
              <w:left w:val="nil"/>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45" w:right="-135" w:firstLine="0"/>
              <w:jc w:val="center"/>
            </w:pPr>
            <w:r>
              <w:rPr>
                <w:rFonts w:hint="eastAsia" w:ascii="黑体" w:hAnsi="宋体" w:eastAsia="黑体" w:cs="黑体"/>
                <w:sz w:val="19"/>
                <w:szCs w:val="19"/>
                <w:bdr w:val="none" w:color="auto" w:sz="0" w:space="0"/>
              </w:rPr>
              <w:t>结果纠正</w:t>
            </w:r>
          </w:p>
        </w:tc>
        <w:tc>
          <w:tcPr>
            <w:tcW w:w="569" w:type="dxa"/>
            <w:vMerge w:val="restart"/>
            <w:tcBorders>
              <w:top w:val="single" w:color="auto" w:sz="6" w:space="0"/>
              <w:left w:val="nil"/>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75" w:right="-90"/>
              <w:jc w:val="center"/>
            </w:pPr>
            <w:r>
              <w:rPr>
                <w:rFonts w:hint="eastAsia" w:ascii="黑体" w:hAnsi="宋体" w:eastAsia="黑体" w:cs="黑体"/>
                <w:sz w:val="19"/>
                <w:szCs w:val="19"/>
                <w:bdr w:val="none" w:color="auto" w:sz="0" w:space="0"/>
              </w:rPr>
              <w:t>其他结果</w:t>
            </w:r>
          </w:p>
        </w:tc>
        <w:tc>
          <w:tcPr>
            <w:tcW w:w="567" w:type="dxa"/>
            <w:vMerge w:val="restart"/>
            <w:tcBorders>
              <w:top w:val="single" w:color="auto" w:sz="6" w:space="0"/>
              <w:left w:val="nil"/>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20" w:right="-120"/>
              <w:jc w:val="center"/>
            </w:pPr>
            <w:r>
              <w:rPr>
                <w:rFonts w:hint="eastAsia" w:ascii="黑体" w:hAnsi="宋体" w:eastAsia="黑体" w:cs="黑体"/>
                <w:sz w:val="19"/>
                <w:szCs w:val="19"/>
                <w:bdr w:val="none" w:color="auto" w:sz="0" w:space="0"/>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20" w:right="-120"/>
              <w:jc w:val="center"/>
            </w:pPr>
            <w:r>
              <w:rPr>
                <w:rFonts w:hint="eastAsia" w:ascii="黑体" w:hAnsi="宋体" w:eastAsia="黑体" w:cs="黑体"/>
                <w:sz w:val="19"/>
                <w:szCs w:val="19"/>
                <w:bdr w:val="none" w:color="auto" w:sz="0" w:space="0"/>
              </w:rPr>
              <w:t>审结</w:t>
            </w:r>
          </w:p>
        </w:tc>
        <w:tc>
          <w:tcPr>
            <w:tcW w:w="651" w:type="dxa"/>
            <w:vMerge w:val="restart"/>
            <w:tcBorders>
              <w:top w:val="single" w:color="auto" w:sz="6" w:space="0"/>
              <w:left w:val="nil"/>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19"/>
                <w:szCs w:val="19"/>
                <w:bdr w:val="none" w:color="auto" w:sz="0" w:space="0"/>
              </w:rPr>
              <w:t>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19"/>
                <w:szCs w:val="19"/>
                <w:bdr w:val="none" w:color="auto" w:sz="0" w:space="0"/>
              </w:rPr>
              <w:t>计</w:t>
            </w:r>
          </w:p>
        </w:tc>
        <w:tc>
          <w:tcPr>
            <w:tcW w:w="2825" w:type="dxa"/>
            <w:gridSpan w:val="5"/>
            <w:tcBorders>
              <w:top w:val="single" w:color="auto" w:sz="6" w:space="0"/>
              <w:left w:val="nil"/>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19"/>
                <w:szCs w:val="19"/>
                <w:bdr w:val="none" w:color="auto" w:sz="0" w:space="0"/>
              </w:rPr>
              <w:t>未经复议直接起诉</w:t>
            </w:r>
          </w:p>
        </w:tc>
        <w:tc>
          <w:tcPr>
            <w:tcW w:w="2762" w:type="dxa"/>
            <w:gridSpan w:val="5"/>
            <w:tcBorders>
              <w:top w:val="single" w:color="auto" w:sz="6" w:space="0"/>
              <w:left w:val="nil"/>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bookmarkStart w:id="9" w:name="_Hlk67039688"/>
            <w:r>
              <w:rPr>
                <w:rFonts w:hint="eastAsia" w:ascii="黑体" w:hAnsi="宋体" w:eastAsia="黑体" w:cs="黑体"/>
                <w:sz w:val="19"/>
                <w:szCs w:val="19"/>
                <w:bdr w:val="none" w:color="auto" w:sz="0" w:space="0"/>
              </w:rPr>
              <w:t>复议后起诉</w:t>
            </w:r>
            <w:bookmarkEnd w:id="9"/>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900" w:hRule="atLeast"/>
          <w:jc w:val="center"/>
        </w:trPr>
        <w:tc>
          <w:tcPr>
            <w:tcW w:w="567" w:type="dxa"/>
            <w:vMerge w:val="continue"/>
            <w:tcBorders>
              <w:top w:val="nil"/>
              <w:left w:val="single" w:color="auto" w:sz="6" w:space="0"/>
              <w:bottom w:val="single" w:color="auto" w:sz="6" w:space="0"/>
              <w:right w:val="single" w:color="auto" w:sz="6" w:space="0"/>
            </w:tcBorders>
            <w:shd w:val="clear"/>
            <w:tcMar>
              <w:left w:w="105" w:type="dxa"/>
              <w:bottom w:w="0" w:type="dxa"/>
              <w:right w:w="105" w:type="dxa"/>
            </w:tcMar>
            <w:vAlign w:val="center"/>
          </w:tcPr>
          <w:p>
            <w:pPr>
              <w:rPr>
                <w:rFonts w:hint="eastAsia" w:ascii="宋体"/>
                <w:sz w:val="24"/>
                <w:szCs w:val="24"/>
              </w:rPr>
            </w:pPr>
          </w:p>
        </w:tc>
        <w:tc>
          <w:tcPr>
            <w:tcW w:w="568" w:type="dxa"/>
            <w:vMerge w:val="continue"/>
            <w:tcBorders>
              <w:top w:val="nil"/>
              <w:left w:val="nil"/>
              <w:bottom w:val="single" w:color="auto" w:sz="6" w:space="0"/>
              <w:right w:val="single" w:color="auto" w:sz="6" w:space="0"/>
            </w:tcBorders>
            <w:shd w:val="clear"/>
            <w:tcMar>
              <w:left w:w="105" w:type="dxa"/>
              <w:bottom w:w="0" w:type="dxa"/>
              <w:right w:w="105" w:type="dxa"/>
            </w:tcMar>
            <w:vAlign w:val="center"/>
          </w:tcPr>
          <w:p>
            <w:pPr>
              <w:rPr>
                <w:rFonts w:hint="eastAsia" w:ascii="宋体"/>
                <w:sz w:val="24"/>
                <w:szCs w:val="24"/>
              </w:rPr>
            </w:pPr>
          </w:p>
        </w:tc>
        <w:tc>
          <w:tcPr>
            <w:tcW w:w="569" w:type="dxa"/>
            <w:vMerge w:val="continue"/>
            <w:tcBorders>
              <w:top w:val="single" w:color="auto" w:sz="6" w:space="0"/>
              <w:left w:val="nil"/>
              <w:bottom w:val="single" w:color="auto" w:sz="6" w:space="0"/>
              <w:right w:val="single" w:color="auto" w:sz="6" w:space="0"/>
            </w:tcBorders>
            <w:shd w:val="clear"/>
            <w:tcMar>
              <w:left w:w="105" w:type="dxa"/>
              <w:bottom w:w="0" w:type="dxa"/>
              <w:right w:w="105" w:type="dxa"/>
            </w:tcMar>
            <w:vAlign w:val="center"/>
          </w:tcPr>
          <w:p>
            <w:pPr>
              <w:rPr>
                <w:rFonts w:hint="eastAsia" w:ascii="宋体"/>
                <w:sz w:val="24"/>
                <w:szCs w:val="24"/>
              </w:rPr>
            </w:pPr>
          </w:p>
        </w:tc>
        <w:tc>
          <w:tcPr>
            <w:tcW w:w="567" w:type="dxa"/>
            <w:vMerge w:val="continue"/>
            <w:tcBorders>
              <w:top w:val="single" w:color="auto" w:sz="6" w:space="0"/>
              <w:left w:val="nil"/>
              <w:bottom w:val="single" w:color="auto" w:sz="6" w:space="0"/>
              <w:right w:val="single" w:color="auto" w:sz="6" w:space="0"/>
            </w:tcBorders>
            <w:shd w:val="clear"/>
            <w:tcMar>
              <w:left w:w="105" w:type="dxa"/>
              <w:bottom w:w="0" w:type="dxa"/>
              <w:right w:w="105" w:type="dxa"/>
            </w:tcMar>
            <w:vAlign w:val="center"/>
          </w:tcPr>
          <w:p>
            <w:pPr>
              <w:rPr>
                <w:rFonts w:hint="eastAsia" w:ascii="宋体"/>
                <w:sz w:val="24"/>
                <w:szCs w:val="24"/>
              </w:rPr>
            </w:pPr>
          </w:p>
        </w:tc>
        <w:tc>
          <w:tcPr>
            <w:tcW w:w="651" w:type="dxa"/>
            <w:vMerge w:val="continue"/>
            <w:tcBorders>
              <w:top w:val="single" w:color="auto" w:sz="6" w:space="0"/>
              <w:left w:val="nil"/>
              <w:bottom w:val="single" w:color="auto" w:sz="6" w:space="0"/>
              <w:right w:val="single" w:color="auto" w:sz="6" w:space="0"/>
            </w:tcBorders>
            <w:shd w:val="clear"/>
            <w:tcMar>
              <w:left w:w="105" w:type="dxa"/>
              <w:bottom w:w="0" w:type="dxa"/>
              <w:right w:w="105" w:type="dxa"/>
            </w:tcMar>
            <w:vAlign w:val="center"/>
          </w:tcPr>
          <w:p>
            <w:pPr>
              <w:rPr>
                <w:rFonts w:hint="eastAsia" w:ascii="宋体"/>
                <w:sz w:val="24"/>
                <w:szCs w:val="24"/>
              </w:rPr>
            </w:pPr>
          </w:p>
        </w:tc>
        <w:tc>
          <w:tcPr>
            <w:tcW w:w="526" w:type="dxa"/>
            <w:tcBorders>
              <w:top w:val="nil"/>
              <w:left w:val="nil"/>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5" w:right="-120"/>
              <w:jc w:val="center"/>
            </w:pPr>
            <w:r>
              <w:rPr>
                <w:rFonts w:hint="eastAsia" w:ascii="黑体" w:hAnsi="宋体" w:eastAsia="黑体" w:cs="黑体"/>
                <w:sz w:val="19"/>
                <w:szCs w:val="19"/>
                <w:bdr w:val="none" w:color="auto" w:sz="0" w:space="0"/>
              </w:rPr>
              <w:t>结果维持</w:t>
            </w:r>
          </w:p>
        </w:tc>
        <w:tc>
          <w:tcPr>
            <w:tcW w:w="568" w:type="dxa"/>
            <w:tcBorders>
              <w:top w:val="nil"/>
              <w:left w:val="nil"/>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90" w:right="-90"/>
              <w:jc w:val="center"/>
            </w:pPr>
            <w:r>
              <w:rPr>
                <w:rFonts w:hint="eastAsia" w:ascii="黑体" w:hAnsi="宋体" w:eastAsia="黑体" w:cs="黑体"/>
                <w:sz w:val="19"/>
                <w:szCs w:val="19"/>
                <w:bdr w:val="none" w:color="auto" w:sz="0" w:space="0"/>
              </w:rPr>
              <w:t>结果纠正</w:t>
            </w:r>
          </w:p>
        </w:tc>
        <w:tc>
          <w:tcPr>
            <w:tcW w:w="567" w:type="dxa"/>
            <w:tcBorders>
              <w:top w:val="single" w:color="auto" w:sz="6" w:space="0"/>
              <w:left w:val="nil"/>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20" w:right="-135"/>
              <w:jc w:val="center"/>
            </w:pPr>
            <w:r>
              <w:rPr>
                <w:rFonts w:hint="eastAsia" w:ascii="黑体" w:hAnsi="宋体" w:eastAsia="黑体" w:cs="黑体"/>
                <w:sz w:val="19"/>
                <w:szCs w:val="19"/>
                <w:bdr w:val="none" w:color="auto" w:sz="0" w:space="0"/>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20" w:right="-135"/>
              <w:jc w:val="center"/>
            </w:pPr>
            <w:r>
              <w:rPr>
                <w:rFonts w:hint="eastAsia" w:ascii="黑体" w:hAnsi="宋体" w:eastAsia="黑体" w:cs="黑体"/>
                <w:sz w:val="19"/>
                <w:szCs w:val="19"/>
                <w:bdr w:val="none" w:color="auto" w:sz="0" w:space="0"/>
              </w:rPr>
              <w:t>结果</w:t>
            </w:r>
          </w:p>
        </w:tc>
        <w:tc>
          <w:tcPr>
            <w:tcW w:w="567" w:type="dxa"/>
            <w:tcBorders>
              <w:top w:val="single" w:color="auto" w:sz="6" w:space="0"/>
              <w:left w:val="nil"/>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65" w:right="-150"/>
              <w:jc w:val="center"/>
            </w:pPr>
            <w:r>
              <w:rPr>
                <w:rFonts w:hint="eastAsia" w:ascii="黑体" w:hAnsi="宋体" w:eastAsia="黑体" w:cs="黑体"/>
                <w:sz w:val="19"/>
                <w:szCs w:val="19"/>
                <w:bdr w:val="none" w:color="auto" w:sz="0" w:space="0"/>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65" w:right="-150"/>
              <w:jc w:val="center"/>
            </w:pPr>
            <w:r>
              <w:rPr>
                <w:rFonts w:hint="eastAsia" w:ascii="黑体" w:hAnsi="宋体" w:eastAsia="黑体" w:cs="黑体"/>
                <w:sz w:val="19"/>
                <w:szCs w:val="19"/>
                <w:bdr w:val="none" w:color="auto" w:sz="0" w:space="0"/>
              </w:rPr>
              <w:t>审结</w:t>
            </w:r>
          </w:p>
        </w:tc>
        <w:tc>
          <w:tcPr>
            <w:tcW w:w="597" w:type="dxa"/>
            <w:tcBorders>
              <w:top w:val="single" w:color="auto" w:sz="6" w:space="0"/>
              <w:left w:val="nil"/>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19"/>
                <w:szCs w:val="19"/>
                <w:bdr w:val="none" w:color="auto" w:sz="0" w:space="0"/>
              </w:rPr>
              <w:t>总计</w:t>
            </w:r>
          </w:p>
        </w:tc>
        <w:tc>
          <w:tcPr>
            <w:tcW w:w="568" w:type="dxa"/>
            <w:tcBorders>
              <w:top w:val="single" w:color="auto" w:sz="6" w:space="0"/>
              <w:left w:val="nil"/>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5" w:right="-75"/>
              <w:jc w:val="center"/>
            </w:pPr>
            <w:r>
              <w:rPr>
                <w:rFonts w:hint="eastAsia" w:ascii="黑体" w:hAnsi="宋体" w:eastAsia="黑体" w:cs="黑体"/>
                <w:sz w:val="19"/>
                <w:szCs w:val="19"/>
                <w:bdr w:val="none" w:color="auto" w:sz="0" w:space="0"/>
              </w:rPr>
              <w:t>结果维持</w:t>
            </w:r>
          </w:p>
        </w:tc>
        <w:tc>
          <w:tcPr>
            <w:tcW w:w="567" w:type="dxa"/>
            <w:tcBorders>
              <w:top w:val="single" w:color="auto" w:sz="6" w:space="0"/>
              <w:left w:val="nil"/>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35" w:right="-120"/>
              <w:jc w:val="center"/>
            </w:pPr>
            <w:r>
              <w:rPr>
                <w:rFonts w:hint="eastAsia" w:ascii="黑体" w:hAnsi="宋体" w:eastAsia="黑体" w:cs="黑体"/>
                <w:sz w:val="19"/>
                <w:szCs w:val="19"/>
                <w:bdr w:val="none" w:color="auto" w:sz="0" w:space="0"/>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35" w:right="-120"/>
              <w:jc w:val="center"/>
            </w:pPr>
            <w:r>
              <w:rPr>
                <w:rFonts w:hint="eastAsia" w:ascii="黑体" w:hAnsi="宋体" w:eastAsia="黑体" w:cs="黑体"/>
                <w:sz w:val="19"/>
                <w:szCs w:val="19"/>
                <w:bdr w:val="none" w:color="auto" w:sz="0" w:space="0"/>
              </w:rPr>
              <w:t>纠正</w:t>
            </w:r>
          </w:p>
        </w:tc>
        <w:tc>
          <w:tcPr>
            <w:tcW w:w="567" w:type="dxa"/>
            <w:tcBorders>
              <w:top w:val="single" w:color="auto" w:sz="6" w:space="0"/>
              <w:left w:val="nil"/>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80" w:right="-135" w:firstLine="0"/>
              <w:jc w:val="center"/>
            </w:pPr>
            <w:r>
              <w:rPr>
                <w:rFonts w:hint="eastAsia" w:ascii="黑体" w:hAnsi="宋体" w:eastAsia="黑体" w:cs="黑体"/>
                <w:sz w:val="19"/>
                <w:szCs w:val="19"/>
                <w:bdr w:val="none" w:color="auto" w:sz="0" w:space="0"/>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80" w:right="-135" w:firstLine="0"/>
              <w:jc w:val="center"/>
            </w:pPr>
            <w:r>
              <w:rPr>
                <w:rFonts w:hint="eastAsia" w:ascii="黑体" w:hAnsi="宋体" w:eastAsia="黑体" w:cs="黑体"/>
                <w:sz w:val="19"/>
                <w:szCs w:val="19"/>
                <w:bdr w:val="none" w:color="auto" w:sz="0" w:space="0"/>
              </w:rPr>
              <w:t>结果</w:t>
            </w:r>
          </w:p>
        </w:tc>
        <w:tc>
          <w:tcPr>
            <w:tcW w:w="569" w:type="dxa"/>
            <w:tcBorders>
              <w:top w:val="single" w:color="auto" w:sz="6" w:space="0"/>
              <w:left w:val="nil"/>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60" w:right="-105" w:firstLine="0"/>
              <w:jc w:val="center"/>
            </w:pPr>
            <w:r>
              <w:rPr>
                <w:rFonts w:hint="eastAsia" w:ascii="黑体" w:hAnsi="宋体" w:eastAsia="黑体" w:cs="黑体"/>
                <w:sz w:val="19"/>
                <w:szCs w:val="19"/>
                <w:bdr w:val="none" w:color="auto" w:sz="0" w:space="0"/>
              </w:rPr>
              <w:t>尚未审结</w:t>
            </w:r>
          </w:p>
        </w:tc>
        <w:tc>
          <w:tcPr>
            <w:tcW w:w="491" w:type="dxa"/>
            <w:tcBorders>
              <w:top w:val="single" w:color="auto" w:sz="6" w:space="0"/>
              <w:left w:val="nil"/>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19"/>
                <w:szCs w:val="19"/>
                <w:bdr w:val="none" w:color="auto" w:sz="0" w:space="0"/>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jc w:val="center"/>
        </w:trPr>
        <w:tc>
          <w:tcPr>
            <w:tcW w:w="567" w:type="dxa"/>
            <w:tcBorders>
              <w:top w:val="nil"/>
              <w:left w:val="single" w:color="auto" w:sz="6"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68" w:type="dxa"/>
            <w:tcBorders>
              <w:top w:val="nil"/>
              <w:left w:val="nil"/>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69" w:type="dxa"/>
            <w:tcBorders>
              <w:top w:val="nil"/>
              <w:left w:val="nil"/>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67" w:type="dxa"/>
            <w:tcBorders>
              <w:top w:val="nil"/>
              <w:left w:val="nil"/>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651" w:type="dxa"/>
            <w:tcBorders>
              <w:top w:val="nil"/>
              <w:left w:val="nil"/>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26" w:type="dxa"/>
            <w:tcBorders>
              <w:top w:val="nil"/>
              <w:left w:val="nil"/>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68" w:type="dxa"/>
            <w:tcBorders>
              <w:top w:val="nil"/>
              <w:left w:val="nil"/>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rPr>
                <w:rFonts w:hint="eastAsia" w:eastAsiaTheme="minorEastAsia"/>
                <w:lang w:val="en-US" w:eastAsia="zh-CN"/>
              </w:rPr>
            </w:pPr>
          </w:p>
        </w:tc>
        <w:tc>
          <w:tcPr>
            <w:tcW w:w="567" w:type="dxa"/>
            <w:tcBorders>
              <w:top w:val="nil"/>
              <w:left w:val="nil"/>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67" w:type="dxa"/>
            <w:tcBorders>
              <w:top w:val="nil"/>
              <w:left w:val="nil"/>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97" w:type="dxa"/>
            <w:tcBorders>
              <w:top w:val="nil"/>
              <w:left w:val="nil"/>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rPr>
                <w:rFonts w:hint="eastAsia" w:eastAsiaTheme="minorEastAsia"/>
                <w:lang w:val="en-US" w:eastAsia="zh-CN"/>
              </w:rPr>
            </w:pPr>
          </w:p>
        </w:tc>
        <w:tc>
          <w:tcPr>
            <w:tcW w:w="568" w:type="dxa"/>
            <w:tcBorders>
              <w:top w:val="nil"/>
              <w:left w:val="nil"/>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67" w:type="dxa"/>
            <w:tcBorders>
              <w:top w:val="nil"/>
              <w:left w:val="nil"/>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67" w:type="dxa"/>
            <w:tcBorders>
              <w:top w:val="nil"/>
              <w:left w:val="nil"/>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569" w:type="dxa"/>
            <w:tcBorders>
              <w:top w:val="nil"/>
              <w:left w:val="nil"/>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c>
          <w:tcPr>
            <w:tcW w:w="491" w:type="dxa"/>
            <w:tcBorders>
              <w:top w:val="nil"/>
              <w:left w:val="nil"/>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jc w:val="left"/>
            </w:pPr>
          </w:p>
        </w:tc>
      </w:tr>
    </w:tbl>
    <w:p>
      <w:pPr>
        <w:pStyle w:val="2"/>
        <w:keepNext w:val="0"/>
        <w:keepLines w:val="0"/>
        <w:widowControl/>
        <w:suppressLineNumbers w:val="0"/>
        <w:spacing w:before="0" w:beforeAutospacing="1" w:after="0" w:afterAutospacing="0" w:line="315" w:lineRule="atLeast"/>
        <w:ind w:left="0" w:right="0" w:firstLine="0"/>
      </w:pPr>
    </w:p>
    <w:p>
      <w:pPr>
        <w:pStyle w:val="2"/>
        <w:keepNext w:val="0"/>
        <w:keepLines w:val="0"/>
        <w:widowControl/>
        <w:suppressLineNumbers w:val="0"/>
        <w:spacing w:before="0" w:beforeAutospacing="1" w:after="0" w:afterAutospacing="0" w:line="315" w:lineRule="atLeast"/>
        <w:ind w:left="0" w:right="0"/>
      </w:pPr>
    </w:p>
    <w:p>
      <w:pPr>
        <w:pStyle w:val="2"/>
        <w:keepNext w:val="0"/>
        <w:keepLines w:val="0"/>
        <w:widowControl/>
        <w:suppressLineNumbers w:val="0"/>
        <w:spacing w:before="0" w:beforeAutospacing="1" w:after="0" w:afterAutospacing="0" w:line="315" w:lineRule="atLeast"/>
        <w:ind w:left="0" w:right="0" w:firstLine="420"/>
      </w:pPr>
      <w:r>
        <w:rPr>
          <w:rFonts w:hint="eastAsia" w:ascii="华文细黑" w:hAnsi="华文细黑" w:eastAsia="华文细黑" w:cs="华文细黑"/>
          <w:sz w:val="31"/>
          <w:szCs w:val="31"/>
        </w:rPr>
        <w:t>五、存在的主要问题及改进情况</w:t>
      </w:r>
    </w:p>
    <w:p>
      <w:pPr>
        <w:pStyle w:val="2"/>
        <w:keepNext w:val="0"/>
        <w:keepLines w:val="0"/>
        <w:widowControl/>
        <w:suppressLineNumbers w:val="0"/>
        <w:spacing w:before="0" w:beforeAutospacing="1" w:after="0" w:afterAutospacing="0" w:line="315" w:lineRule="atLeast"/>
        <w:ind w:left="0" w:right="0" w:firstLine="420"/>
      </w:pPr>
      <w:r>
        <w:rPr>
          <w:rFonts w:hint="eastAsia" w:ascii="仿宋" w:hAnsi="仿宋" w:eastAsia="仿宋" w:cs="仿宋"/>
          <w:sz w:val="31"/>
          <w:szCs w:val="31"/>
        </w:rPr>
        <w:t>202</w:t>
      </w:r>
      <w:r>
        <w:rPr>
          <w:rFonts w:hint="eastAsia" w:ascii="仿宋" w:hAnsi="仿宋" w:eastAsia="仿宋" w:cs="仿宋"/>
          <w:sz w:val="31"/>
          <w:szCs w:val="31"/>
          <w:lang w:val="en-US" w:eastAsia="zh-CN"/>
        </w:rPr>
        <w:t>2</w:t>
      </w:r>
      <w:r>
        <w:rPr>
          <w:rFonts w:hint="eastAsia" w:ascii="仿宋" w:hAnsi="仿宋" w:eastAsia="仿宋" w:cs="仿宋"/>
          <w:sz w:val="31"/>
          <w:szCs w:val="31"/>
        </w:rPr>
        <w:t>年，交通运输局政务信息公开工作虽然做了大量工作，取得一些成绩,但与新形势、新任务对政务信息公开工作的要求相比，还存在一些不足。如，动态新闻多，公文类信息少，信息公开内容不够全面，部分信息公开不够及时。政务公开意识仍需要进一步加强、政务公开需要进一步加大、公开渠道进一步拓宽等问题。</w:t>
      </w:r>
    </w:p>
    <w:p>
      <w:pPr>
        <w:pStyle w:val="2"/>
        <w:keepNext w:val="0"/>
        <w:keepLines w:val="0"/>
        <w:widowControl/>
        <w:suppressLineNumbers w:val="0"/>
        <w:spacing w:before="0" w:beforeAutospacing="1" w:after="0" w:afterAutospacing="0" w:line="315" w:lineRule="atLeast"/>
        <w:ind w:left="0" w:right="0" w:firstLine="420"/>
      </w:pPr>
      <w:r>
        <w:rPr>
          <w:rFonts w:hint="eastAsia" w:ascii="华文细黑" w:hAnsi="华文细黑" w:eastAsia="华文细黑" w:cs="华文细黑"/>
          <w:sz w:val="31"/>
          <w:szCs w:val="31"/>
        </w:rPr>
        <w:t>下步改进措施</w:t>
      </w:r>
    </w:p>
    <w:p>
      <w:pPr>
        <w:pStyle w:val="2"/>
        <w:keepNext w:val="0"/>
        <w:keepLines w:val="0"/>
        <w:widowControl/>
        <w:suppressLineNumbers w:val="0"/>
        <w:spacing w:before="0" w:beforeAutospacing="1" w:after="0" w:afterAutospacing="0" w:line="315" w:lineRule="atLeast"/>
        <w:ind w:left="0" w:right="0" w:firstLine="420"/>
      </w:pPr>
      <w:r>
        <w:rPr>
          <w:rFonts w:hint="eastAsia" w:ascii="仿宋" w:hAnsi="仿宋" w:eastAsia="仿宋" w:cs="仿宋"/>
          <w:sz w:val="31"/>
          <w:szCs w:val="31"/>
        </w:rPr>
        <w:t>一是加强学习培训，提高信息工作人员的业务能力和信息公开工作质量，提高全局工作人员对政府信息公开工作的认识，确认各个环节不出问题，从而进一步调高政府信息公开工作的水平。</w:t>
      </w:r>
    </w:p>
    <w:p>
      <w:pPr>
        <w:pStyle w:val="2"/>
        <w:keepNext w:val="0"/>
        <w:keepLines w:val="0"/>
        <w:widowControl/>
        <w:suppressLineNumbers w:val="0"/>
        <w:spacing w:before="0" w:beforeAutospacing="1" w:after="0" w:afterAutospacing="0" w:line="315" w:lineRule="atLeast"/>
        <w:ind w:left="0" w:right="0" w:firstLine="420"/>
      </w:pPr>
      <w:r>
        <w:rPr>
          <w:rFonts w:hint="eastAsia" w:ascii="仿宋" w:hAnsi="仿宋" w:eastAsia="仿宋" w:cs="仿宋"/>
          <w:sz w:val="31"/>
          <w:szCs w:val="31"/>
        </w:rPr>
        <w:t>二是在公开的主动性和时效性上下功夫，加大公开力度。主动收集公开信息，跟进办事程序，及时准确公布办事结果，尽可能在工作质量、态度、时效等方面作出承诺，不断增强工作透明度</w:t>
      </w:r>
    </w:p>
    <w:p>
      <w:pPr>
        <w:pStyle w:val="2"/>
        <w:keepNext w:val="0"/>
        <w:keepLines w:val="0"/>
        <w:widowControl/>
        <w:suppressLineNumbers w:val="0"/>
        <w:spacing w:before="0" w:beforeAutospacing="1" w:after="0" w:afterAutospacing="0" w:line="315" w:lineRule="atLeast"/>
        <w:ind w:left="0" w:right="0" w:firstLine="420"/>
      </w:pPr>
      <w:r>
        <w:rPr>
          <w:rFonts w:hint="eastAsia" w:ascii="仿宋" w:hAnsi="仿宋" w:eastAsia="仿宋" w:cs="仿宋"/>
          <w:sz w:val="31"/>
          <w:szCs w:val="31"/>
        </w:rPr>
        <w:t>三是健全完善工作制度。以制度管人，以制度管事，明确审查工作程序和责任，加大对信息公开工作的督导考核力度，确保工作落实到位。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15" w:lineRule="atLeast"/>
        <w:ind w:left="0" w:right="0" w:firstLine="420"/>
      </w:pPr>
      <w:r>
        <w:rPr>
          <w:rFonts w:hint="eastAsia" w:ascii="华文细黑" w:hAnsi="华文细黑" w:eastAsia="华文细黑" w:cs="华文细黑"/>
          <w:spacing w:val="0"/>
          <w:sz w:val="31"/>
          <w:szCs w:val="31"/>
          <w:bdr w:val="none" w:color="auto" w:sz="0" w:space="0"/>
          <w:shd w:val="clear" w:fill="FFFFFF"/>
        </w:rPr>
        <w:t>六、工作考核、社会评议和责任追究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15" w:lineRule="atLeast"/>
        <w:ind w:left="0" w:right="0" w:firstLine="420"/>
        <w:rPr>
          <w:rFonts w:hint="eastAsia" w:ascii="仿宋" w:hAnsi="仿宋" w:eastAsia="仿宋" w:cs="仿宋"/>
          <w:spacing w:val="0"/>
          <w:sz w:val="31"/>
          <w:szCs w:val="31"/>
          <w:bdr w:val="none" w:color="auto" w:sz="0" w:space="0"/>
          <w:shd w:val="clear" w:fill="FFFFFF"/>
        </w:rPr>
      </w:pPr>
      <w:r>
        <w:rPr>
          <w:rFonts w:hint="eastAsia" w:ascii="仿宋" w:hAnsi="仿宋" w:eastAsia="仿宋" w:cs="仿宋"/>
          <w:spacing w:val="0"/>
          <w:sz w:val="31"/>
          <w:szCs w:val="31"/>
          <w:bdr w:val="none" w:color="auto" w:sz="0" w:space="0"/>
          <w:shd w:val="clear" w:fill="FFFFFF"/>
        </w:rPr>
        <w:t>2022年3月，被山东省精神文明建设委员会授予“省级文明单位”。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15" w:lineRule="atLeast"/>
        <w:ind w:left="0" w:right="0" w:firstLine="420"/>
        <w:rPr>
          <w:rFonts w:hint="eastAsia" w:ascii="仿宋" w:hAnsi="仿宋" w:eastAsia="仿宋" w:cs="仿宋"/>
          <w:spacing w:val="0"/>
          <w:sz w:val="31"/>
          <w:szCs w:val="31"/>
          <w:bdr w:val="none" w:color="auto" w:sz="0" w:space="0"/>
          <w:shd w:val="clear" w:fill="FFFFFF"/>
        </w:rPr>
      </w:pPr>
      <w:r>
        <w:rPr>
          <w:rFonts w:hint="eastAsia" w:ascii="仿宋" w:hAnsi="仿宋" w:eastAsia="仿宋" w:cs="仿宋"/>
          <w:spacing w:val="0"/>
          <w:sz w:val="31"/>
          <w:szCs w:val="31"/>
          <w:bdr w:val="none" w:color="auto" w:sz="0" w:space="0"/>
          <w:shd w:val="clear" w:fill="FFFFFF"/>
        </w:rPr>
        <w:t>2022年4月，被中共台儿庄区委区直机关工委评为模范机关创建示范单位。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15" w:lineRule="atLeast"/>
        <w:ind w:left="0" w:right="0" w:firstLine="420"/>
        <w:rPr>
          <w:rFonts w:hint="eastAsia" w:ascii="仿宋" w:hAnsi="仿宋" w:eastAsia="仿宋" w:cs="仿宋"/>
          <w:spacing w:val="0"/>
          <w:sz w:val="31"/>
          <w:szCs w:val="31"/>
          <w:bdr w:val="none" w:color="auto" w:sz="0" w:space="0"/>
          <w:shd w:val="clear" w:fill="FFFFFF"/>
        </w:rPr>
      </w:pPr>
      <w:r>
        <w:rPr>
          <w:rFonts w:hint="eastAsia" w:ascii="仿宋" w:hAnsi="仿宋" w:eastAsia="仿宋" w:cs="仿宋"/>
          <w:spacing w:val="0"/>
          <w:sz w:val="31"/>
          <w:szCs w:val="31"/>
          <w:bdr w:val="none" w:color="auto" w:sz="0" w:space="0"/>
          <w:shd w:val="clear" w:fill="FFFFFF"/>
        </w:rPr>
        <w:t>2022年4月，区交通运输局机关支部被命名为“2021年度五星级党支部”。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15" w:lineRule="atLeast"/>
        <w:ind w:left="0" w:right="0" w:firstLine="420"/>
        <w:rPr>
          <w:rFonts w:hint="eastAsia" w:ascii="仿宋" w:hAnsi="仿宋" w:eastAsia="仿宋" w:cs="仿宋"/>
          <w:spacing w:val="0"/>
          <w:sz w:val="31"/>
          <w:szCs w:val="31"/>
          <w:bdr w:val="none" w:color="auto" w:sz="0" w:space="0"/>
          <w:shd w:val="clear" w:fill="FFFFFF"/>
        </w:rPr>
      </w:pPr>
      <w:r>
        <w:rPr>
          <w:rFonts w:hint="eastAsia" w:ascii="仿宋" w:hAnsi="仿宋" w:eastAsia="仿宋" w:cs="仿宋"/>
          <w:spacing w:val="0"/>
          <w:sz w:val="31"/>
          <w:szCs w:val="31"/>
          <w:bdr w:val="none" w:color="auto" w:sz="0" w:space="0"/>
          <w:shd w:val="clear" w:fill="FFFFFF"/>
        </w:rPr>
        <w:t>2022年4月，被枣庄市总工会授予“枣庄市五一劳动奖状”。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15" w:lineRule="atLeast"/>
        <w:ind w:left="0" w:right="0" w:firstLine="420"/>
        <w:rPr>
          <w:rFonts w:hint="eastAsia" w:ascii="仿宋" w:hAnsi="仿宋" w:eastAsia="仿宋" w:cs="仿宋"/>
          <w:spacing w:val="0"/>
          <w:sz w:val="31"/>
          <w:szCs w:val="31"/>
          <w:bdr w:val="none" w:color="auto" w:sz="0" w:space="0"/>
          <w:shd w:val="clear" w:fill="FFFFFF"/>
        </w:rPr>
      </w:pPr>
      <w:r>
        <w:rPr>
          <w:rFonts w:hint="eastAsia" w:ascii="仿宋" w:hAnsi="仿宋" w:eastAsia="仿宋" w:cs="仿宋"/>
          <w:spacing w:val="0"/>
          <w:sz w:val="31"/>
          <w:szCs w:val="31"/>
          <w:bdr w:val="none" w:color="auto" w:sz="0" w:space="0"/>
          <w:shd w:val="clear" w:fill="FFFFFF"/>
        </w:rPr>
        <w:t>2022年6月，被中共台儿庄区委、台儿庄区人民政府授予“2021年度区直机关绩效考核先进集体”；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15" w:lineRule="atLeast"/>
        <w:ind w:left="0" w:right="0" w:firstLine="420"/>
        <w:rPr>
          <w:rFonts w:hint="eastAsia" w:ascii="仿宋" w:hAnsi="仿宋" w:eastAsia="仿宋" w:cs="仿宋"/>
          <w:spacing w:val="0"/>
          <w:sz w:val="31"/>
          <w:szCs w:val="31"/>
          <w:bdr w:val="none" w:color="auto" w:sz="0" w:space="0"/>
          <w:shd w:val="clear" w:fill="FFFFFF"/>
        </w:rPr>
      </w:pPr>
      <w:r>
        <w:rPr>
          <w:rFonts w:hint="eastAsia" w:ascii="仿宋" w:hAnsi="仿宋" w:eastAsia="仿宋" w:cs="仿宋"/>
          <w:spacing w:val="0"/>
          <w:sz w:val="31"/>
          <w:szCs w:val="31"/>
          <w:bdr w:val="none" w:color="auto" w:sz="0" w:space="0"/>
          <w:shd w:val="clear" w:fill="FFFFFF"/>
        </w:rPr>
        <w:t>2022年10月，被国家机关事务管理局、中直管理局、国家发展和改革委员会、财政部评为节约型机关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15" w:lineRule="atLeast"/>
        <w:ind w:left="0" w:right="0" w:firstLine="420"/>
        <w:rPr>
          <w:rFonts w:hint="eastAsia" w:ascii="仿宋" w:hAnsi="仿宋" w:eastAsia="仿宋" w:cs="仿宋"/>
          <w:spacing w:val="0"/>
          <w:sz w:val="31"/>
          <w:szCs w:val="31"/>
          <w:bdr w:val="none" w:color="auto" w:sz="0" w:space="0"/>
          <w:shd w:val="clear" w:fill="FFFFFF"/>
        </w:rPr>
      </w:pPr>
      <w:r>
        <w:rPr>
          <w:rFonts w:hint="eastAsia" w:ascii="仿宋" w:hAnsi="仿宋" w:eastAsia="仿宋" w:cs="仿宋"/>
          <w:spacing w:val="0"/>
          <w:sz w:val="31"/>
          <w:szCs w:val="31"/>
          <w:bdr w:val="none" w:color="auto" w:sz="0" w:space="0"/>
          <w:shd w:val="clear" w:fill="FFFFFF"/>
        </w:rPr>
        <w:t>2022年12月，被省交通运输厅评为二十大信访维稳先进单位。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15" w:lineRule="atLeast"/>
        <w:ind w:left="0" w:right="0" w:firstLine="420"/>
      </w:pPr>
      <w:bookmarkStart w:id="10" w:name="_GoBack"/>
      <w:bookmarkEnd w:id="10"/>
      <w:r>
        <w:rPr>
          <w:rFonts w:hint="eastAsia" w:ascii="仿宋" w:hAnsi="仿宋" w:eastAsia="仿宋" w:cs="仿宋"/>
          <w:spacing w:val="0"/>
          <w:sz w:val="31"/>
          <w:szCs w:val="31"/>
          <w:bdr w:val="none" w:color="auto" w:sz="0" w:space="0"/>
          <w:shd w:val="clear" w:fill="FFFFFF"/>
        </w:rPr>
        <w:t>无社会评议事项，无责任追究问题。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15" w:lineRule="atLeast"/>
        <w:ind w:left="0" w:right="0" w:firstLine="420"/>
      </w:pPr>
      <w:r>
        <w:rPr>
          <w:rFonts w:hint="eastAsia" w:ascii="华文细黑" w:hAnsi="华文细黑" w:eastAsia="华文细黑" w:cs="华文细黑"/>
          <w:sz w:val="31"/>
          <w:szCs w:val="31"/>
          <w:bdr w:val="none" w:color="auto" w:sz="0" w:space="0"/>
          <w:shd w:val="clear" w:fill="FFFFFF"/>
        </w:rPr>
        <w:t>七、其他需要报告的事项</w:t>
      </w:r>
    </w:p>
    <w:p>
      <w:pPr>
        <w:pStyle w:val="2"/>
        <w:keepNext w:val="0"/>
        <w:keepLines w:val="0"/>
        <w:widowControl/>
        <w:suppressLineNumbers w:val="0"/>
        <w:spacing w:before="0" w:beforeAutospacing="1" w:after="0" w:afterAutospacing="0" w:line="315" w:lineRule="atLeast"/>
        <w:ind w:left="0" w:right="0" w:firstLine="420"/>
      </w:pPr>
      <w:r>
        <w:rPr>
          <w:rFonts w:hint="eastAsia" w:ascii="仿宋" w:hAnsi="仿宋" w:eastAsia="仿宋" w:cs="仿宋"/>
          <w:sz w:val="31"/>
          <w:szCs w:val="31"/>
        </w:rPr>
        <w:t>无</w:t>
      </w:r>
    </w:p>
    <w:p>
      <w:pPr>
        <w:pStyle w:val="2"/>
        <w:keepNext w:val="0"/>
        <w:keepLines w:val="0"/>
        <w:widowControl/>
        <w:suppressLineNumbers w:val="0"/>
        <w:spacing w:before="0" w:beforeAutospacing="1" w:after="0" w:afterAutospacing="0" w:line="315" w:lineRule="atLeast"/>
        <w:ind w:left="0" w:right="0" w:firstLine="42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692AB0"/>
    <w:rsid w:val="22692AB0"/>
    <w:rsid w:val="39037BF2"/>
    <w:rsid w:val="39CF3F3A"/>
    <w:rsid w:val="4DD9419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2023-01-31T07:37:00Z</dcterms:created>
  <dc:creator>hp</dc:creator>
  <cp:lastModifiedBy>hp</cp:lastModifiedBy>
  <cp:lastPrinted>2023-01-31T08:32:09Z</cp:lastPrinted>
  <dcterms:modified xsi:type="dcterms:W3CDTF">2023-01-31T08:38:14Z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