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台儿庄区商务和投资促进局2022年</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政府信息公开工作年度报告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本报告依据《中华人民共和国政府信息公开条例》《国务院办公厅政府信息与政务公开办公室关于政府信息公开工作年度报告有关事项的</w:t>
      </w:r>
      <w:r>
        <w:rPr>
          <w:rStyle w:val="10"/>
          <w:rFonts w:hint="eastAsia" w:ascii="仿宋_GB2312" w:hAnsi="仿宋_GB2312" w:eastAsia="仿宋_GB2312" w:cs="仿宋_GB2312"/>
          <w:color w:val="000000"/>
          <w:kern w:val="0"/>
          <w:sz w:val="32"/>
          <w:szCs w:val="32"/>
        </w:rPr>
        <w:footnoteReference w:id="0"/>
      </w:r>
      <w:r>
        <w:rPr>
          <w:rFonts w:hint="eastAsia" w:ascii="仿宋_GB2312" w:hAnsi="仿宋_GB2312" w:eastAsia="仿宋_GB2312" w:cs="仿宋_GB2312"/>
          <w:color w:val="000000"/>
          <w:kern w:val="0"/>
          <w:sz w:val="32"/>
          <w:szCs w:val="32"/>
        </w:rPr>
        <w:t>通知》有关规定编制。报告全文由“总体情况”“主动公开政府信息情况”“收到和处理政府信息公开申请情况”“因政府信息公开工作被申请行政复议、提起行政诉讼情况”“存在的主要问题及改进情况”“其他需要报告的事项”六个部分组成。本报告中所列数据的统计时限为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年1月1日至202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年12月31日。本报告在“枣庄市台儿庄区人民政府门户网站”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http://www.tez.gov.cn/</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公布。对本报告如有疑问，可与台儿庄区商务和投资促进局办公室联系（地址：台儿庄区运河大道与华兴路交叉口向西180米路南；邮编：277400；电话：0632-6661666；电子邮箱：tezqswj@zz.shandong.cn）。</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总体情况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ascii="仿宋_GB2312" w:eastAsia="仿宋_GB2312" w:cs="仿宋_GB2312"/>
          <w:color w:val="auto"/>
          <w:sz w:val="31"/>
          <w:szCs w:val="31"/>
        </w:rPr>
      </w:pPr>
      <w:r>
        <w:rPr>
          <w:rFonts w:ascii="仿宋_GB2312" w:eastAsia="仿宋_GB2312" w:cs="仿宋_GB2312"/>
          <w:color w:val="auto"/>
          <w:sz w:val="31"/>
          <w:szCs w:val="31"/>
        </w:rPr>
        <w:t>我局认真贯彻落实《中华人民共和国政府信息公开条例》《国务院办公厅政府信息与政务公开办公室关于政府信息公开工作年度报告有关事项的通知》等文件要求，坚持“以公开为常态、不公开为例外”，进一步强化组织领导，完善公开机制，着力提升公开质量和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202</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年，我局严格按照《台儿庄区商务和投资促进局政务信息公开制度》内容，明确职责，将政府信息公开工作落到实处。</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highlight w:val="none"/>
        </w:rPr>
        <w:t>主动公开方面。梳理各类应公开的政府信息按照分类予以公开，本年度主动公开政府信息</w:t>
      </w:r>
      <w:r>
        <w:rPr>
          <w:rFonts w:hint="eastAsia" w:ascii="仿宋_GB2312" w:eastAsia="仿宋_GB2312" w:cs="仿宋_GB2312"/>
          <w:color w:val="auto"/>
          <w:sz w:val="32"/>
          <w:szCs w:val="32"/>
          <w:highlight w:val="none"/>
          <w:lang w:val="en-US" w:eastAsia="zh-CN"/>
        </w:rPr>
        <w:t>31</w:t>
      </w:r>
      <w:r>
        <w:rPr>
          <w:rFonts w:hint="eastAsia" w:ascii="仿宋_GB2312" w:eastAsia="仿宋_GB2312" w:cs="仿宋_GB2312"/>
          <w:color w:val="auto"/>
          <w:sz w:val="32"/>
          <w:szCs w:val="32"/>
          <w:highlight w:val="none"/>
        </w:rPr>
        <w:t>件，其中机构职能</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件，</w:t>
      </w:r>
      <w:r>
        <w:rPr>
          <w:rFonts w:hint="eastAsia" w:ascii="仿宋_GB2312" w:eastAsia="仿宋_GB2312" w:cs="仿宋_GB2312"/>
          <w:color w:val="auto"/>
          <w:sz w:val="32"/>
          <w:szCs w:val="32"/>
          <w:highlight w:val="none"/>
          <w:lang w:val="en-US" w:eastAsia="zh-CN"/>
        </w:rPr>
        <w:t>政策解读4件，</w:t>
      </w:r>
      <w:r>
        <w:rPr>
          <w:rFonts w:hint="eastAsia" w:ascii="仿宋_GB2312" w:eastAsia="仿宋_GB2312" w:cs="仿宋_GB2312"/>
          <w:color w:val="auto"/>
          <w:sz w:val="32"/>
          <w:szCs w:val="32"/>
          <w:highlight w:val="none"/>
        </w:rPr>
        <w:t>规划计划1件，工作信息</w:t>
      </w:r>
      <w:r>
        <w:rPr>
          <w:rFonts w:hint="eastAsia" w:ascii="仿宋_GB2312" w:eastAsia="仿宋_GB2312" w:cs="仿宋_GB2312"/>
          <w:color w:val="auto"/>
          <w:sz w:val="32"/>
          <w:szCs w:val="32"/>
          <w:highlight w:val="none"/>
          <w:lang w:val="en-US" w:eastAsia="zh-CN"/>
        </w:rPr>
        <w:t>7</w:t>
      </w:r>
      <w:r>
        <w:rPr>
          <w:rFonts w:hint="eastAsia" w:ascii="仿宋_GB2312" w:eastAsia="仿宋_GB2312" w:cs="仿宋_GB2312"/>
          <w:color w:val="auto"/>
          <w:sz w:val="32"/>
          <w:szCs w:val="32"/>
          <w:highlight w:val="none"/>
        </w:rPr>
        <w:t>件，行政权力运行公开</w:t>
      </w: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件，重点领域信息公开</w:t>
      </w:r>
      <w:r>
        <w:rPr>
          <w:rFonts w:hint="eastAsia" w:ascii="仿宋_GB2312" w:eastAsia="仿宋_GB2312" w:cs="仿宋_GB2312"/>
          <w:color w:val="auto"/>
          <w:sz w:val="32"/>
          <w:szCs w:val="32"/>
          <w:highlight w:val="none"/>
          <w:lang w:val="en-US" w:eastAsia="zh-CN"/>
        </w:rPr>
        <w:t>4</w:t>
      </w:r>
      <w:r>
        <w:rPr>
          <w:rFonts w:hint="eastAsia" w:ascii="仿宋_GB2312" w:eastAsia="仿宋_GB2312" w:cs="仿宋_GB2312"/>
          <w:color w:val="auto"/>
          <w:sz w:val="32"/>
          <w:szCs w:val="32"/>
          <w:highlight w:val="none"/>
        </w:rPr>
        <w:t>件，主动公开基本目录</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件，政务公开保障机制</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件</w:t>
      </w:r>
      <w:r>
        <w:rPr>
          <w:rFonts w:hint="eastAsia" w:ascii="仿宋_GB2312" w:eastAsia="仿宋_GB2312" w:cs="仿宋_GB2312"/>
          <w:color w:val="auto"/>
          <w:sz w:val="32"/>
          <w:szCs w:val="32"/>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依申请公开方面。密切关注申请情况，严格落实依申请公开办理制度，本年度我局未收到依申请公开政府信息。</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政府信息管理方面。严格落实保密审查制度，信息发布前由经办及分管领导签审《信息公开保密审查表》，确保所公开信息符合保密规定。</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政府信息公开</w:t>
      </w:r>
      <w:r>
        <w:rPr>
          <w:rFonts w:hint="eastAsia" w:ascii="仿宋_GB2312" w:eastAsia="仿宋_GB2312" w:cs="仿宋_GB2312"/>
          <w:color w:val="auto"/>
          <w:sz w:val="32"/>
          <w:szCs w:val="32"/>
        </w:rPr>
        <w:t>平台建设方面。将台儿庄区政府网站作为</w:t>
      </w:r>
      <w:r>
        <w:rPr>
          <w:rFonts w:hint="eastAsia" w:ascii="仿宋_GB2312" w:eastAsia="仿宋_GB2312" w:cs="仿宋_GB2312"/>
          <w:color w:val="auto"/>
          <w:sz w:val="32"/>
          <w:szCs w:val="32"/>
          <w:lang w:val="en-US" w:eastAsia="zh-CN"/>
        </w:rPr>
        <w:t>重要</w:t>
      </w:r>
      <w:r>
        <w:rPr>
          <w:rFonts w:hint="eastAsia" w:ascii="仿宋_GB2312" w:eastAsia="仿宋_GB2312" w:cs="仿宋_GB2312"/>
          <w:color w:val="auto"/>
          <w:sz w:val="32"/>
          <w:szCs w:val="32"/>
        </w:rPr>
        <w:t>阵地，继续推动“互联网＋政务服务”，深化放管服信息公开</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作为信息公开工作的延伸和扩展</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及时做好</w:t>
      </w:r>
      <w:r>
        <w:rPr>
          <w:rFonts w:hint="eastAsia" w:ascii="仿宋_GB2312" w:eastAsia="仿宋_GB2312" w:cs="仿宋_GB2312"/>
          <w:color w:val="auto"/>
          <w:sz w:val="32"/>
          <w:szCs w:val="32"/>
        </w:rPr>
        <w:t>微信公众号政务新媒体</w:t>
      </w:r>
      <w:r>
        <w:rPr>
          <w:rFonts w:hint="eastAsia" w:ascii="仿宋_GB2312" w:eastAsia="仿宋_GB2312" w:cs="仿宋_GB2312"/>
          <w:color w:val="auto"/>
          <w:sz w:val="32"/>
          <w:szCs w:val="32"/>
          <w:lang w:val="en-US" w:eastAsia="zh-CN"/>
        </w:rPr>
        <w:t>的信息发布工作</w:t>
      </w:r>
      <w:r>
        <w:rPr>
          <w:rFonts w:hint="eastAsia" w:ascii="仿宋_GB2312" w:eastAsia="仿宋_GB2312" w:cs="仿宋_GB2312"/>
          <w:color w:val="auto"/>
          <w:sz w:val="32"/>
          <w:szCs w:val="32"/>
          <w:lang w:eastAsia="zh-CN"/>
        </w:rPr>
        <w:t>，</w:t>
      </w:r>
      <w:r>
        <w:rPr>
          <w:rFonts w:hint="eastAsia" w:ascii="仿宋_GB2312" w:hAnsi="仿宋_GB2312" w:eastAsia="仿宋_GB2312" w:cs="仿宋_GB2312"/>
          <w:sz w:val="32"/>
          <w:szCs w:val="32"/>
        </w:rPr>
        <w:t>围绕部门工作职责和意识形态工作要求，建设模块化信息专栏，链接部门政策信息端口，打通政务服务网入口</w:t>
      </w:r>
      <w:r>
        <w:rPr>
          <w:rFonts w:hint="eastAsia" w:ascii="仿宋_GB2312" w:hAnsi="仿宋_GB2312" w:eastAsia="仿宋_GB2312" w:cs="仿宋_GB2312"/>
          <w:sz w:val="32"/>
          <w:szCs w:val="32"/>
          <w:lang w:eastAsia="zh-CN"/>
        </w:rPr>
        <w:t>，</w:t>
      </w:r>
      <w:r>
        <w:rPr>
          <w:rFonts w:hint="eastAsia" w:ascii="仿宋_GB2312" w:eastAsia="仿宋_GB2312" w:cs="仿宋_GB2312"/>
          <w:color w:val="auto"/>
          <w:sz w:val="32"/>
          <w:szCs w:val="32"/>
        </w:rPr>
        <w:t>配合行政服务中心做好线上线下融合工作</w:t>
      </w:r>
      <w:r>
        <w:rPr>
          <w:rFonts w:hint="eastAsia" w:ascii="仿宋_GB2312" w:eastAsia="仿宋_GB2312" w:cs="仿宋_GB2312"/>
          <w:color w:val="auto"/>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监督保障方面。我局不断完善政府信息公开工作机制和信息发布审核流程，明确责任工作室，强化监督检查，更新我局信息公开指南，发布政府信息公开工作年度报告，切实保障人民群众知情权、参与权和监督权，做到公开透明。</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建议提案办理情况。根据《政府信息公开条例》第二十条第八项要求，对20</w:t>
      </w:r>
      <w:r>
        <w:rPr>
          <w:rFonts w:hint="eastAsia" w:ascii="仿宋_GB2312" w:eastAsia="仿宋_GB2312" w:cs="仿宋_GB2312"/>
          <w:color w:val="auto"/>
          <w:sz w:val="32"/>
          <w:szCs w:val="32"/>
          <w:lang w:val="en-US" w:eastAsia="zh-CN"/>
        </w:rPr>
        <w:t>22</w:t>
      </w:r>
      <w:r>
        <w:rPr>
          <w:rFonts w:hint="eastAsia" w:ascii="仿宋_GB2312" w:eastAsia="仿宋_GB2312" w:cs="仿宋_GB2312"/>
          <w:color w:val="auto"/>
          <w:sz w:val="32"/>
          <w:szCs w:val="32"/>
        </w:rPr>
        <w:t>年建议提案办理情况进行了公开。我</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高度重视人大代表建议和政协委员提案办理，完善机制、狠抓落实，取得了良好成效。</w:t>
      </w:r>
      <w:r>
        <w:rPr>
          <w:rFonts w:hint="eastAsia" w:ascii="仿宋_GB2312" w:eastAsia="仿宋_GB2312" w:cs="仿宋_GB2312"/>
          <w:color w:val="auto"/>
          <w:sz w:val="32"/>
          <w:szCs w:val="32"/>
          <w:lang w:val="en-US" w:eastAsia="zh-CN"/>
        </w:rPr>
        <w:t>全年</w:t>
      </w:r>
      <w:r>
        <w:rPr>
          <w:rFonts w:hint="eastAsia" w:ascii="仿宋_GB2312" w:eastAsia="仿宋_GB2312" w:cs="仿宋_GB2312"/>
          <w:color w:val="auto"/>
          <w:sz w:val="32"/>
          <w:szCs w:val="32"/>
        </w:rPr>
        <w:t>共收到市级政协</w:t>
      </w:r>
      <w:r>
        <w:rPr>
          <w:rFonts w:hint="eastAsia" w:ascii="仿宋_GB2312" w:eastAsia="仿宋_GB2312" w:cs="仿宋_GB2312"/>
          <w:color w:val="auto"/>
          <w:sz w:val="32"/>
          <w:szCs w:val="32"/>
          <w:highlight w:val="none"/>
        </w:rPr>
        <w:t>提案</w:t>
      </w:r>
      <w:r>
        <w:rPr>
          <w:rFonts w:hint="eastAsia" w:ascii="仿宋_GB2312" w:eastAsia="仿宋_GB2312" w:cs="仿宋_GB2312"/>
          <w:color w:val="auto"/>
          <w:sz w:val="32"/>
          <w:szCs w:val="32"/>
          <w:highlight w:val="none"/>
          <w:lang w:val="en-US" w:eastAsia="zh-CN"/>
        </w:rPr>
        <w:t>6</w:t>
      </w:r>
      <w:r>
        <w:rPr>
          <w:rFonts w:hint="eastAsia" w:ascii="仿宋_GB2312" w:eastAsia="仿宋_GB2312" w:cs="仿宋_GB2312"/>
          <w:color w:val="auto"/>
          <w:sz w:val="32"/>
          <w:szCs w:val="32"/>
          <w:highlight w:val="none"/>
        </w:rPr>
        <w:t>件、区级政协提案</w:t>
      </w:r>
      <w:r>
        <w:rPr>
          <w:rFonts w:hint="eastAsia" w:ascii="仿宋_GB2312" w:eastAsia="仿宋_GB2312" w:cs="仿宋_GB2312"/>
          <w:color w:val="auto"/>
          <w:sz w:val="32"/>
          <w:szCs w:val="32"/>
          <w:highlight w:val="none"/>
          <w:lang w:val="en-US" w:eastAsia="zh-CN"/>
        </w:rPr>
        <w:t>4</w:t>
      </w:r>
      <w:r>
        <w:rPr>
          <w:rFonts w:hint="eastAsia" w:ascii="仿宋_GB2312" w:eastAsia="仿宋_GB2312" w:cs="仿宋_GB2312"/>
          <w:color w:val="auto"/>
          <w:sz w:val="32"/>
          <w:szCs w:val="32"/>
          <w:highlight w:val="none"/>
        </w:rPr>
        <w:t>件。截</w:t>
      </w:r>
      <w:r>
        <w:rPr>
          <w:rFonts w:hint="eastAsia" w:ascii="仿宋_GB2312" w:eastAsia="仿宋_GB2312" w:cs="仿宋_GB2312"/>
          <w:color w:val="auto"/>
          <w:sz w:val="32"/>
          <w:szCs w:val="32"/>
        </w:rPr>
        <w:t>至目前，承接的建议、提案均在规定的答复时限内答复完毕，答复率达100%。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ascii="仿宋_GB2312" w:eastAsia="仿宋_GB2312" w:cs="仿宋_GB2312"/>
          <w:color w:val="auto"/>
          <w:sz w:val="32"/>
          <w:szCs w:val="32"/>
        </w:rPr>
        <w:t>202</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年我局主动公开政府信息</w:t>
      </w:r>
      <w:r>
        <w:rPr>
          <w:rFonts w:hint="eastAsia" w:ascii="仿宋_GB2312" w:eastAsia="仿宋_GB2312" w:cs="仿宋_GB2312"/>
          <w:color w:val="auto"/>
          <w:sz w:val="32"/>
          <w:szCs w:val="32"/>
          <w:highlight w:val="none"/>
          <w:lang w:val="en-US" w:eastAsia="zh-CN"/>
        </w:rPr>
        <w:t>31</w:t>
      </w:r>
      <w:r>
        <w:rPr>
          <w:rFonts w:hint="eastAsia" w:ascii="仿宋_GB2312" w:eastAsia="仿宋_GB2312" w:cs="仿宋_GB2312"/>
          <w:color w:val="auto"/>
          <w:sz w:val="32"/>
          <w:szCs w:val="32"/>
        </w:rPr>
        <w:t>件，</w:t>
      </w:r>
      <w:r>
        <w:rPr>
          <w:rFonts w:hint="eastAsia" w:ascii="仿宋_GB2312" w:eastAsia="仿宋_GB2312" w:cs="仿宋_GB2312"/>
          <w:color w:val="auto"/>
          <w:sz w:val="32"/>
          <w:szCs w:val="32"/>
          <w:highlight w:val="none"/>
        </w:rPr>
        <w:t>其中机构职能</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件，</w:t>
      </w:r>
      <w:r>
        <w:rPr>
          <w:rFonts w:hint="eastAsia" w:ascii="仿宋_GB2312" w:eastAsia="仿宋_GB2312" w:cs="仿宋_GB2312"/>
          <w:color w:val="auto"/>
          <w:sz w:val="32"/>
          <w:szCs w:val="32"/>
          <w:highlight w:val="none"/>
          <w:lang w:val="en-US" w:eastAsia="zh-CN"/>
        </w:rPr>
        <w:t>政策解读4件，</w:t>
      </w:r>
      <w:r>
        <w:rPr>
          <w:rFonts w:hint="eastAsia" w:ascii="仿宋_GB2312" w:eastAsia="仿宋_GB2312" w:cs="仿宋_GB2312"/>
          <w:color w:val="auto"/>
          <w:sz w:val="32"/>
          <w:szCs w:val="32"/>
          <w:highlight w:val="none"/>
        </w:rPr>
        <w:t>规划计划1件，工作信息</w:t>
      </w:r>
      <w:r>
        <w:rPr>
          <w:rFonts w:hint="eastAsia" w:ascii="仿宋_GB2312" w:eastAsia="仿宋_GB2312" w:cs="仿宋_GB2312"/>
          <w:color w:val="auto"/>
          <w:sz w:val="32"/>
          <w:szCs w:val="32"/>
          <w:highlight w:val="none"/>
          <w:lang w:val="en-US" w:eastAsia="zh-CN"/>
        </w:rPr>
        <w:t>7</w:t>
      </w:r>
      <w:r>
        <w:rPr>
          <w:rFonts w:hint="eastAsia" w:ascii="仿宋_GB2312" w:eastAsia="仿宋_GB2312" w:cs="仿宋_GB2312"/>
          <w:color w:val="auto"/>
          <w:sz w:val="32"/>
          <w:szCs w:val="32"/>
          <w:highlight w:val="none"/>
        </w:rPr>
        <w:t>件，行政权力运行公开</w:t>
      </w: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件，重点领域信息公开</w:t>
      </w:r>
      <w:r>
        <w:rPr>
          <w:rFonts w:hint="eastAsia" w:ascii="仿宋_GB2312" w:eastAsia="仿宋_GB2312" w:cs="仿宋_GB2312"/>
          <w:color w:val="auto"/>
          <w:sz w:val="32"/>
          <w:szCs w:val="32"/>
          <w:highlight w:val="none"/>
          <w:lang w:val="en-US" w:eastAsia="zh-CN"/>
        </w:rPr>
        <w:t>4</w:t>
      </w:r>
      <w:r>
        <w:rPr>
          <w:rFonts w:hint="eastAsia" w:ascii="仿宋_GB2312" w:eastAsia="仿宋_GB2312" w:cs="仿宋_GB2312"/>
          <w:color w:val="auto"/>
          <w:sz w:val="32"/>
          <w:szCs w:val="32"/>
          <w:highlight w:val="none"/>
        </w:rPr>
        <w:t>件，主动公开基本目录</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件，政务公开保障机制</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件</w:t>
      </w:r>
      <w:r>
        <w:rPr>
          <w:rFonts w:hint="eastAsia" w:ascii="仿宋_GB2312" w:eastAsia="仿宋_GB2312" w:cs="仿宋_GB2312"/>
          <w:color w:val="auto"/>
          <w:sz w:val="32"/>
          <w:szCs w:val="32"/>
        </w:rPr>
        <w:t>。</w:t>
      </w:r>
    </w:p>
    <w:tbl>
      <w:tblPr>
        <w:tblStyle w:val="7"/>
        <w:tblW w:w="8140" w:type="dxa"/>
        <w:jc w:val="center"/>
        <w:tblLayout w:type="fixed"/>
        <w:tblCellMar>
          <w:top w:w="0" w:type="dxa"/>
          <w:left w:w="0" w:type="dxa"/>
          <w:bottom w:w="0" w:type="dxa"/>
          <w:right w:w="0" w:type="dxa"/>
        </w:tblCellMar>
      </w:tblPr>
      <w:tblGrid>
        <w:gridCol w:w="2895"/>
        <w:gridCol w:w="1817"/>
        <w:gridCol w:w="1547"/>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90"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1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本年</w:t>
            </w:r>
            <w:r>
              <w:rPr>
                <w:rFonts w:hint="eastAsia" w:ascii="宋体" w:hAnsi="宋体" w:eastAsia="宋体" w:cs="宋体"/>
                <w:color w:val="000000"/>
                <w:kern w:val="0"/>
                <w:sz w:val="20"/>
                <w:szCs w:val="20"/>
                <w:lang w:val="en-US" w:eastAsia="zh-CN"/>
              </w:rPr>
              <w:t>制发件数</w:t>
            </w:r>
          </w:p>
        </w:tc>
        <w:tc>
          <w:tcPr>
            <w:tcW w:w="15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本年</w:t>
            </w:r>
            <w:r>
              <w:rPr>
                <w:rFonts w:hint="eastAsia" w:ascii="宋体" w:hAnsi="宋体" w:eastAsia="宋体" w:cs="宋体"/>
                <w:color w:val="000000"/>
                <w:kern w:val="0"/>
                <w:sz w:val="20"/>
                <w:szCs w:val="20"/>
                <w:lang w:val="en-US" w:eastAsia="zh-CN"/>
              </w:rPr>
              <w:t>废止件数</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现行有效件数</w:t>
            </w:r>
          </w:p>
        </w:tc>
      </w:tr>
      <w:tr>
        <w:tblPrEx>
          <w:tblCellMar>
            <w:top w:w="0" w:type="dxa"/>
            <w:left w:w="0" w:type="dxa"/>
            <w:bottom w:w="0" w:type="dxa"/>
            <w:right w:w="0" w:type="dxa"/>
          </w:tblCellMar>
        </w:tblPrEx>
        <w:trPr>
          <w:trHeight w:val="523"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5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行政</w:t>
            </w:r>
            <w:r>
              <w:rPr>
                <w:rFonts w:hint="eastAsia" w:ascii="宋体" w:hAnsi="宋体" w:eastAsia="宋体" w:cs="宋体"/>
                <w:color w:val="000000"/>
                <w:kern w:val="0"/>
                <w:sz w:val="20"/>
                <w:szCs w:val="20"/>
              </w:rPr>
              <w:t>规范性文件</w:t>
            </w:r>
          </w:p>
        </w:tc>
        <w:tc>
          <w:tcPr>
            <w:tcW w:w="181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5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5245"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本年处理决定数量</w:t>
            </w:r>
          </w:p>
        </w:tc>
      </w:tr>
      <w:tr>
        <w:tblPrEx>
          <w:tblCellMar>
            <w:top w:w="0" w:type="dxa"/>
            <w:left w:w="0" w:type="dxa"/>
            <w:bottom w:w="0" w:type="dxa"/>
            <w:right w:w="0" w:type="dxa"/>
          </w:tblCellMar>
        </w:tblPrEx>
        <w:trPr>
          <w:trHeight w:val="528"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524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5245"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本年处理决定数量</w:t>
            </w:r>
          </w:p>
        </w:tc>
      </w:tr>
      <w:tr>
        <w:tblPrEx>
          <w:tblCellMar>
            <w:top w:w="0" w:type="dxa"/>
            <w:left w:w="0" w:type="dxa"/>
            <w:bottom w:w="0" w:type="dxa"/>
            <w:right w:w="0" w:type="dxa"/>
          </w:tblCellMar>
        </w:tblPrEx>
        <w:trPr>
          <w:trHeight w:val="430"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524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524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5245"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本年收费金额（单位：  万元）</w:t>
            </w:r>
          </w:p>
        </w:tc>
      </w:tr>
      <w:tr>
        <w:tblPrEx>
          <w:tblCellMar>
            <w:top w:w="0" w:type="dxa"/>
            <w:left w:w="0" w:type="dxa"/>
            <w:bottom w:w="0" w:type="dxa"/>
            <w:right w:w="0" w:type="dxa"/>
          </w:tblCellMar>
        </w:tblPrEx>
        <w:trPr>
          <w:trHeight w:val="551" w:hRule="atLeast"/>
          <w:jc w:val="center"/>
        </w:trPr>
        <w:tc>
          <w:tcPr>
            <w:tcW w:w="2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5245"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r>
    </w:tbl>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收到和处理政府信息公开申请情况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2"/>
          <w:szCs w:val="32"/>
        </w:rPr>
      </w:pPr>
      <w:r>
        <w:rPr>
          <w:rFonts w:ascii="仿宋_GB2312" w:eastAsia="仿宋_GB2312" w:cs="仿宋_GB2312"/>
          <w:sz w:val="31"/>
          <w:szCs w:val="31"/>
        </w:rPr>
        <w:t>202</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年我局没有收到信息公开申请。</w:t>
      </w:r>
    </w:p>
    <w:tbl>
      <w:tblPr>
        <w:tblStyle w:val="7"/>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200" w:firstLineChars="100"/>
              <w:jc w:val="both"/>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0</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lang w:val="en-US" w:eastAsia="zh-CN"/>
              </w:rPr>
              <w:t>0</w:t>
            </w:r>
          </w:p>
        </w:tc>
      </w:tr>
    </w:tbl>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因</w:t>
      </w:r>
      <w:r>
        <w:rPr>
          <w:rFonts w:hint="eastAsia" w:ascii="黑体" w:hAnsi="黑体" w:eastAsia="黑体" w:cs="黑体"/>
          <w:color w:val="000000"/>
          <w:kern w:val="0"/>
          <w:sz w:val="32"/>
          <w:szCs w:val="32"/>
        </w:rPr>
        <w:t>政府信息公开</w:t>
      </w:r>
      <w:r>
        <w:rPr>
          <w:rFonts w:hint="eastAsia" w:ascii="黑体" w:hAnsi="黑体" w:eastAsia="黑体" w:cs="黑体"/>
          <w:color w:val="000000"/>
          <w:kern w:val="0"/>
          <w:sz w:val="32"/>
          <w:szCs w:val="32"/>
          <w:lang w:val="en-US" w:eastAsia="zh-CN"/>
        </w:rPr>
        <w:t>工作被申请</w:t>
      </w:r>
      <w:r>
        <w:rPr>
          <w:rFonts w:hint="eastAsia" w:ascii="黑体" w:hAnsi="黑体" w:eastAsia="黑体" w:cs="黑体"/>
          <w:color w:val="000000"/>
          <w:kern w:val="0"/>
          <w:sz w:val="32"/>
          <w:szCs w:val="32"/>
        </w:rPr>
        <w:t>行政复议、</w:t>
      </w:r>
      <w:r>
        <w:rPr>
          <w:rFonts w:hint="eastAsia" w:ascii="黑体" w:hAnsi="黑体" w:eastAsia="黑体" w:cs="黑体"/>
          <w:color w:val="000000"/>
          <w:kern w:val="0"/>
          <w:sz w:val="32"/>
          <w:szCs w:val="32"/>
          <w:lang w:val="en-US" w:eastAsia="zh-CN"/>
        </w:rPr>
        <w:t>提起</w:t>
      </w:r>
      <w:r>
        <w:rPr>
          <w:rFonts w:hint="eastAsia" w:ascii="黑体" w:hAnsi="黑体" w:eastAsia="黑体" w:cs="黑体"/>
          <w:color w:val="000000"/>
          <w:kern w:val="0"/>
          <w:sz w:val="32"/>
          <w:szCs w:val="32"/>
        </w:rPr>
        <w:t>行政诉讼情况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年我局没有因政府信息公开而引起的行政复议、行政诉讼。</w:t>
      </w:r>
    </w:p>
    <w:tbl>
      <w:tblPr>
        <w:tblStyle w:val="7"/>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（一）2021年问题整改情况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一是</w:t>
      </w:r>
      <w:r>
        <w:rPr>
          <w:rFonts w:hint="default" w:ascii="仿宋_GB2312" w:hAnsi="黑体" w:eastAsia="仿宋_GB2312" w:cs="宋体"/>
          <w:color w:val="000000"/>
          <w:kern w:val="0"/>
          <w:sz w:val="32"/>
          <w:szCs w:val="32"/>
          <w:lang w:val="en-US" w:eastAsia="zh-CN"/>
        </w:rPr>
        <w:t>政府信息公开的</w:t>
      </w:r>
      <w:r>
        <w:rPr>
          <w:rFonts w:hint="eastAsia" w:ascii="仿宋_GB2312" w:hAnsi="黑体" w:eastAsia="仿宋_GB2312" w:cs="宋体"/>
          <w:color w:val="000000"/>
          <w:kern w:val="0"/>
          <w:sz w:val="32"/>
          <w:szCs w:val="32"/>
          <w:lang w:val="en-US" w:eastAsia="zh-CN"/>
        </w:rPr>
        <w:t>质量</w:t>
      </w:r>
      <w:r>
        <w:rPr>
          <w:rFonts w:hint="default" w:ascii="仿宋_GB2312" w:hAnsi="黑体" w:eastAsia="仿宋_GB2312" w:cs="宋体"/>
          <w:color w:val="000000"/>
          <w:kern w:val="0"/>
          <w:sz w:val="32"/>
          <w:szCs w:val="32"/>
          <w:lang w:val="en-US" w:eastAsia="zh-CN"/>
        </w:rPr>
        <w:t>与公众的需求还有一定差距，内容有待进一步充实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以门户网站和政务新媒体为载体，实时动态</w:t>
      </w:r>
      <w:r>
        <w:rPr>
          <w:rFonts w:hint="eastAsia" w:ascii="仿宋_GB2312" w:hAnsi="仿宋_GB2312" w:eastAsia="仿宋_GB2312" w:cs="仿宋_GB2312"/>
          <w:sz w:val="32"/>
          <w:szCs w:val="32"/>
        </w:rPr>
        <w:t>更新政策信息、部门工作动</w:t>
      </w:r>
      <w:r>
        <w:rPr>
          <w:rFonts w:hint="eastAsia" w:ascii="仿宋_GB2312" w:hAnsi="仿宋_GB2312" w:eastAsia="仿宋_GB2312" w:cs="仿宋_GB2312"/>
          <w:sz w:val="32"/>
          <w:szCs w:val="32"/>
          <w:highlight w:val="none"/>
        </w:rPr>
        <w:t>态80余篇，其中包含20</w:t>
      </w:r>
      <w:r>
        <w:rPr>
          <w:rFonts w:hint="eastAsia" w:ascii="仿宋_GB2312" w:hAnsi="仿宋_GB2312" w:eastAsia="仿宋_GB2312" w:cs="仿宋_GB2312"/>
          <w:sz w:val="32"/>
          <w:szCs w:val="32"/>
        </w:rPr>
        <w:t>余篇习近平总书记重要讲话以及党中央、国务院和省、市、区重大决策部署等权威信息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val="en-US" w:eastAsia="zh-CN"/>
        </w:rPr>
        <w:t>信息公开</w:t>
      </w:r>
      <w:r>
        <w:rPr>
          <w:rFonts w:hint="eastAsia" w:ascii="仿宋_GB2312" w:hAnsi="仿宋_GB2312" w:eastAsia="仿宋_GB2312" w:cs="仿宋_GB2312"/>
          <w:sz w:val="32"/>
          <w:szCs w:val="32"/>
        </w:rPr>
        <w:t>内容兼具政治敏锐性和时效性，助力提高政府权威信息抵达率和部门工作政策知晓率</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二是</w:t>
      </w:r>
      <w:r>
        <w:rPr>
          <w:rFonts w:hint="eastAsia" w:ascii="仿宋_GB2312" w:hAnsi="黑体" w:eastAsia="仿宋_GB2312" w:cs="宋体"/>
          <w:color w:val="000000"/>
          <w:kern w:val="0"/>
          <w:sz w:val="32"/>
          <w:szCs w:val="32"/>
          <w:lang w:val="en-US" w:eastAsia="zh-CN"/>
        </w:rPr>
        <w:t>信息</w:t>
      </w:r>
      <w:r>
        <w:rPr>
          <w:rFonts w:hint="default" w:ascii="仿宋_GB2312" w:hAnsi="黑体" w:eastAsia="仿宋_GB2312" w:cs="宋体"/>
          <w:color w:val="000000"/>
          <w:kern w:val="0"/>
          <w:sz w:val="32"/>
          <w:szCs w:val="32"/>
          <w:lang w:val="en-US" w:eastAsia="zh-CN"/>
        </w:rPr>
        <w:t>公开力度需进一步加大</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rPr>
        <w:t>坚持“以公开为常态、不公开为例外”的原则，利用门户网站和政务新媒体全面做好重点工作、重点领域的信息公开工作，做到了应公开尽公开。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三是</w:t>
      </w:r>
      <w:r>
        <w:rPr>
          <w:rFonts w:hint="eastAsia" w:ascii="仿宋_GB2312" w:hAnsi="黑体" w:eastAsia="仿宋_GB2312" w:cs="宋体"/>
          <w:color w:val="000000"/>
          <w:kern w:val="0"/>
          <w:sz w:val="32"/>
          <w:szCs w:val="32"/>
          <w:lang w:val="en-US" w:eastAsia="zh-CN"/>
        </w:rPr>
        <w:t>政府信息</w:t>
      </w:r>
      <w:r>
        <w:rPr>
          <w:rFonts w:hint="default" w:ascii="仿宋_GB2312" w:hAnsi="黑体" w:eastAsia="仿宋_GB2312" w:cs="宋体"/>
          <w:color w:val="000000"/>
          <w:kern w:val="0"/>
          <w:sz w:val="32"/>
          <w:szCs w:val="32"/>
          <w:lang w:val="en-US" w:eastAsia="zh-CN"/>
        </w:rPr>
        <w:t>公开形式比较单一</w:t>
      </w:r>
      <w:r>
        <w:rPr>
          <w:rFonts w:hint="eastAsia" w:ascii="仿宋_GB2312" w:hAnsi="仿宋_GB2312" w:eastAsia="仿宋_GB2312" w:cs="仿宋_GB2312"/>
          <w:color w:val="000000"/>
          <w:kern w:val="0"/>
          <w:sz w:val="32"/>
          <w:szCs w:val="32"/>
          <w:lang w:val="en-US" w:eastAsia="zh-CN"/>
        </w:rPr>
        <w:t>。积极探索并采用各种群众喜闻乐见的公开方式，通过图文、问答、视频等多样化公开形式提高信息公开质量。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（二）2022年存在的主要问题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一是政务新媒体</w:t>
      </w:r>
      <w:r>
        <w:rPr>
          <w:rFonts w:hint="default" w:ascii="仿宋_GB2312" w:hAnsi="黑体" w:eastAsia="仿宋_GB2312" w:cs="宋体"/>
          <w:color w:val="000000"/>
          <w:kern w:val="0"/>
          <w:sz w:val="32"/>
          <w:szCs w:val="32"/>
          <w:lang w:val="en-US" w:eastAsia="zh-CN"/>
        </w:rPr>
        <w:t>账号关注度低，辐射范围窄。目前我局微信公众号关注人数较少，且部分为局内部工作人员，对服务企业、群众的触达率不高，辐射和影响力较弱。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二是信息公开</w:t>
      </w:r>
      <w:r>
        <w:rPr>
          <w:rFonts w:hint="default" w:ascii="仿宋_GB2312" w:hAnsi="黑体" w:eastAsia="仿宋_GB2312" w:cs="宋体"/>
          <w:color w:val="000000"/>
          <w:kern w:val="0"/>
          <w:sz w:val="32"/>
          <w:szCs w:val="32"/>
          <w:lang w:val="en-US" w:eastAsia="zh-CN"/>
        </w:rPr>
        <w:t>工作人员队伍专业素质有待进一步提升。信息内容表达形式偏单一，对政策内容的解读工作做得少，信息质量与公众的需求还有一定差距。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（三）下一步改进措施</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黑体" w:eastAsia="仿宋_GB2312" w:cs="宋体"/>
          <w:b/>
          <w:bCs/>
          <w:color w:val="000000"/>
          <w:kern w:val="0"/>
          <w:sz w:val="32"/>
          <w:szCs w:val="32"/>
          <w:lang w:val="en-US" w:eastAsia="zh-CN"/>
        </w:rPr>
      </w:pPr>
      <w:r>
        <w:rPr>
          <w:rFonts w:hint="default" w:ascii="仿宋_GB2312" w:hAnsi="黑体" w:eastAsia="仿宋_GB2312" w:cs="宋体"/>
          <w:b/>
          <w:bCs/>
          <w:color w:val="000000"/>
          <w:kern w:val="0"/>
          <w:sz w:val="32"/>
          <w:szCs w:val="32"/>
          <w:lang w:val="en-US" w:eastAsia="zh-CN"/>
        </w:rPr>
        <w:t>一是提高政治站位，强化监管意识。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default" w:ascii="仿宋_GB2312" w:hAnsi="黑体" w:eastAsia="仿宋_GB2312" w:cs="宋体"/>
          <w:color w:val="000000"/>
          <w:kern w:val="0"/>
          <w:sz w:val="32"/>
          <w:szCs w:val="32"/>
          <w:lang w:val="en-US" w:eastAsia="zh-CN"/>
        </w:rPr>
        <w:t>始终坚持把党的政治建设放在</w:t>
      </w:r>
      <w:r>
        <w:rPr>
          <w:rFonts w:hint="eastAsia" w:ascii="仿宋_GB2312" w:hAnsi="黑体" w:eastAsia="仿宋_GB2312" w:cs="宋体"/>
          <w:color w:val="000000"/>
          <w:kern w:val="0"/>
          <w:sz w:val="32"/>
          <w:szCs w:val="32"/>
          <w:lang w:val="en-US" w:eastAsia="zh-CN"/>
        </w:rPr>
        <w:t>政府信息公开</w:t>
      </w:r>
      <w:r>
        <w:rPr>
          <w:rFonts w:hint="default" w:ascii="仿宋_GB2312" w:hAnsi="黑体" w:eastAsia="仿宋_GB2312" w:cs="宋体"/>
          <w:color w:val="000000"/>
          <w:kern w:val="0"/>
          <w:sz w:val="32"/>
          <w:szCs w:val="32"/>
          <w:lang w:val="en-US" w:eastAsia="zh-CN"/>
        </w:rPr>
        <w:t>工作的首要位置，全面贯彻落实习近平新时代中国特色社会主义思想，坚持以人民为中心的发展理念，持续加强</w:t>
      </w:r>
      <w:r>
        <w:rPr>
          <w:rFonts w:hint="eastAsia" w:ascii="仿宋_GB2312" w:hAnsi="黑体" w:eastAsia="仿宋_GB2312" w:cs="宋体"/>
          <w:color w:val="000000"/>
          <w:kern w:val="0"/>
          <w:sz w:val="32"/>
          <w:szCs w:val="32"/>
          <w:lang w:val="en-US" w:eastAsia="zh-CN"/>
        </w:rPr>
        <w:t>信息公开</w:t>
      </w:r>
      <w:r>
        <w:rPr>
          <w:rFonts w:hint="default" w:ascii="仿宋_GB2312" w:hAnsi="黑体" w:eastAsia="仿宋_GB2312" w:cs="宋体"/>
          <w:color w:val="000000"/>
          <w:kern w:val="0"/>
          <w:sz w:val="32"/>
          <w:szCs w:val="32"/>
          <w:lang w:val="en-US" w:eastAsia="zh-CN"/>
        </w:rPr>
        <w:t>日常监督检查，严格工作标准，及时发现、解决工作中的问题，不断提升工作实效，积极发挥</w:t>
      </w:r>
      <w:r>
        <w:rPr>
          <w:rFonts w:hint="eastAsia" w:ascii="仿宋_GB2312" w:hAnsi="黑体" w:eastAsia="仿宋_GB2312" w:cs="宋体"/>
          <w:color w:val="000000"/>
          <w:kern w:val="0"/>
          <w:sz w:val="32"/>
          <w:szCs w:val="32"/>
          <w:lang w:val="en-US" w:eastAsia="zh-CN"/>
        </w:rPr>
        <w:t>政府信息公开</w:t>
      </w:r>
      <w:r>
        <w:rPr>
          <w:rFonts w:hint="default" w:ascii="仿宋_GB2312" w:hAnsi="黑体" w:eastAsia="仿宋_GB2312" w:cs="宋体"/>
          <w:color w:val="000000"/>
          <w:kern w:val="0"/>
          <w:sz w:val="32"/>
          <w:szCs w:val="32"/>
          <w:lang w:val="en-US" w:eastAsia="zh-CN"/>
        </w:rPr>
        <w:t>重要平台作用。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b/>
          <w:bCs/>
          <w:color w:val="000000"/>
          <w:kern w:val="0"/>
          <w:sz w:val="32"/>
          <w:szCs w:val="32"/>
          <w:lang w:val="en-US" w:eastAsia="zh-CN"/>
        </w:rPr>
        <w:t>二是</w:t>
      </w:r>
      <w:r>
        <w:rPr>
          <w:rFonts w:hint="default" w:ascii="仿宋_GB2312" w:hAnsi="黑体" w:eastAsia="仿宋_GB2312" w:cs="宋体"/>
          <w:b/>
          <w:bCs/>
          <w:color w:val="000000"/>
          <w:kern w:val="0"/>
          <w:sz w:val="32"/>
          <w:szCs w:val="32"/>
          <w:lang w:val="en-US" w:eastAsia="zh-CN"/>
        </w:rPr>
        <w:t>明确工作职责，加强内容保障。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default" w:ascii="仿宋_GB2312" w:hAnsi="黑体" w:eastAsia="仿宋_GB2312" w:cs="宋体"/>
          <w:color w:val="000000"/>
          <w:kern w:val="0"/>
          <w:sz w:val="32"/>
          <w:szCs w:val="32"/>
          <w:lang w:val="en-US" w:eastAsia="zh-CN"/>
        </w:rPr>
        <w:t>明确专人负责政府信息公开日常维护和更新工作，并建立专人监管体制，明确工作职责，严格审核，按照“谁提供、谁负责”和“谁审批、谁负责”的原则，对上网信息内容进行严格审核把关，确保上网信息的安全性、真实性、准确性，加强新媒体内容保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黑体" w:eastAsia="仿宋_GB2312" w:cs="宋体"/>
          <w:b/>
          <w:bCs/>
          <w:color w:val="000000"/>
          <w:kern w:val="0"/>
          <w:sz w:val="32"/>
          <w:szCs w:val="32"/>
          <w:lang w:val="en-US" w:eastAsia="zh-CN"/>
        </w:rPr>
      </w:pPr>
      <w:r>
        <w:rPr>
          <w:rFonts w:hint="eastAsia" w:ascii="仿宋_GB2312" w:hAnsi="黑体" w:eastAsia="仿宋_GB2312" w:cs="宋体"/>
          <w:b/>
          <w:bCs/>
          <w:color w:val="000000"/>
          <w:kern w:val="0"/>
          <w:sz w:val="32"/>
          <w:szCs w:val="32"/>
          <w:lang w:val="en-US" w:eastAsia="zh-CN"/>
        </w:rPr>
        <w:t>三是</w:t>
      </w:r>
      <w:r>
        <w:rPr>
          <w:rFonts w:hint="default" w:ascii="仿宋_GB2312" w:hAnsi="黑体" w:eastAsia="仿宋_GB2312" w:cs="宋体"/>
          <w:b/>
          <w:bCs/>
          <w:color w:val="000000"/>
          <w:kern w:val="0"/>
          <w:sz w:val="32"/>
          <w:szCs w:val="32"/>
          <w:lang w:val="en-US" w:eastAsia="zh-CN"/>
        </w:rPr>
        <w:t>持续进行学习，提升管理水平。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cs="宋体"/>
          <w:color w:val="000000"/>
          <w:kern w:val="0"/>
          <w:sz w:val="32"/>
          <w:szCs w:val="32"/>
          <w:lang w:val="en-US" w:eastAsia="zh-CN"/>
        </w:rPr>
      </w:pPr>
      <w:r>
        <w:rPr>
          <w:rFonts w:hint="default" w:ascii="仿宋_GB2312" w:hAnsi="黑体" w:eastAsia="仿宋_GB2312" w:cs="宋体"/>
          <w:color w:val="000000"/>
          <w:kern w:val="0"/>
          <w:sz w:val="32"/>
          <w:szCs w:val="32"/>
          <w:lang w:val="en-US" w:eastAsia="zh-CN"/>
        </w:rPr>
        <w:t>加强政府信息公开人员培训，强化责任意识，切实提高人员队伍的思想认识和业务能力，不断学习优秀政务新媒体账号的成功经验，思索如何做好宣传和内</w:t>
      </w:r>
      <w:bookmarkStart w:id="0" w:name="_GoBack"/>
      <w:bookmarkEnd w:id="0"/>
      <w:r>
        <w:rPr>
          <w:rFonts w:hint="default" w:ascii="仿宋_GB2312" w:hAnsi="黑体" w:eastAsia="仿宋_GB2312" w:cs="宋体"/>
          <w:color w:val="000000"/>
          <w:kern w:val="0"/>
          <w:sz w:val="32"/>
          <w:szCs w:val="32"/>
          <w:lang w:val="en-US" w:eastAsia="zh-CN"/>
        </w:rPr>
        <w:t>容提质工作。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无其他需要报告的事项。</w:t>
      </w:r>
    </w:p>
    <w:p>
      <w:pPr>
        <w:widowControl/>
        <w:jc w:val="left"/>
        <w:rPr>
          <w:rFonts w:ascii="宋体" w:hAnsi="宋体" w:eastAsia="宋体" w:cs="宋体"/>
          <w:color w:val="000000"/>
          <w:kern w:val="0"/>
          <w:sz w:val="20"/>
          <w:szCs w:val="20"/>
        </w:rPr>
      </w:pPr>
    </w:p>
    <w:p>
      <w:pPr>
        <w:pStyle w:val="6"/>
        <w:keepNext w:val="0"/>
        <w:keepLines w:val="0"/>
        <w:widowControl/>
        <w:suppressLineNumbers w:val="0"/>
        <w:spacing w:after="0" w:afterAutospacing="0" w:line="368" w:lineRule="atLeast"/>
        <w:ind w:left="0" w:firstLine="420"/>
        <w:jc w:val="right"/>
      </w:pPr>
      <w:r>
        <w:rPr>
          <w:rFonts w:ascii="仿宋_GB2312" w:eastAsia="仿宋_GB2312" w:cs="仿宋_GB2312"/>
          <w:sz w:val="31"/>
          <w:szCs w:val="31"/>
        </w:rPr>
        <w:t>枣庄市台儿庄区商务和投资促进局</w:t>
      </w:r>
    </w:p>
    <w:p>
      <w:pPr>
        <w:pStyle w:val="6"/>
        <w:keepNext w:val="0"/>
        <w:keepLines w:val="0"/>
        <w:widowControl/>
        <w:suppressLineNumbers w:val="0"/>
        <w:spacing w:before="0" w:beforeAutospacing="0" w:after="0" w:afterAutospacing="0" w:line="368" w:lineRule="atLeast"/>
        <w:ind w:left="0" w:right="960" w:firstLine="420"/>
        <w:jc w:val="right"/>
      </w:pP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202</w:t>
      </w:r>
      <w:r>
        <w:rPr>
          <w:rFonts w:hint="eastAsia" w:ascii="仿宋_GB2312" w:eastAsia="仿宋_GB2312" w:cs="仿宋_GB2312"/>
          <w:sz w:val="31"/>
          <w:szCs w:val="31"/>
          <w:lang w:val="en-US" w:eastAsia="zh-CN"/>
        </w:rPr>
        <w:t>3</w:t>
      </w:r>
      <w:r>
        <w:rPr>
          <w:rFonts w:hint="eastAsia" w:ascii="仿宋_GB2312" w:eastAsia="仿宋_GB2312" w:cs="仿宋_GB2312"/>
          <w:sz w:val="31"/>
          <w:szCs w:val="31"/>
        </w:rPr>
        <w:t>年1月</w:t>
      </w:r>
      <w:r>
        <w:rPr>
          <w:rFonts w:hint="eastAsia" w:ascii="仿宋_GB2312" w:eastAsia="仿宋_GB2312" w:cs="仿宋_GB2312"/>
          <w:sz w:val="31"/>
          <w:szCs w:val="31"/>
          <w:lang w:val="en-US" w:eastAsia="zh-CN"/>
        </w:rPr>
        <w:t>16</w:t>
      </w:r>
      <w:r>
        <w:rPr>
          <w:rFonts w:hint="eastAsia" w:ascii="仿宋_GB2312" w:eastAsia="仿宋_GB2312" w:cs="仿宋_GB2312"/>
          <w:sz w:val="31"/>
          <w:szCs w:val="31"/>
        </w:rPr>
        <w:t>日</w:t>
      </w:r>
    </w:p>
    <w:p>
      <w:pPr>
        <w:widowControl/>
        <w:jc w:val="left"/>
        <w:rPr>
          <w:rFonts w:ascii="宋体" w:hAnsi="宋体" w:eastAsia="宋体" w:cs="宋体"/>
          <w:color w:val="000000"/>
          <w:kern w:val="0"/>
          <w:sz w:val="20"/>
          <w:szCs w:val="20"/>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5"/>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6D0F1"/>
    <w:multiLevelType w:val="singleLevel"/>
    <w:tmpl w:val="DC96D0F1"/>
    <w:lvl w:ilvl="0" w:tentative="0">
      <w:start w:val="1"/>
      <w:numFmt w:val="chineseCounting"/>
      <w:suff w:val="nothing"/>
      <w:lvlText w:val="（%1）"/>
      <w:lvlJc w:val="left"/>
      <w:rPr>
        <w:rFonts w:hint="eastAsia"/>
      </w:rPr>
    </w:lvl>
  </w:abstractNum>
  <w:abstractNum w:abstractNumId="1">
    <w:nsid w:val="F88FC728"/>
    <w:multiLevelType w:val="singleLevel"/>
    <w:tmpl w:val="F88FC728"/>
    <w:lvl w:ilvl="0" w:tentative="0">
      <w:start w:val="3"/>
      <w:numFmt w:val="chineseCounting"/>
      <w:suff w:val="nothing"/>
      <w:lvlText w:val="%1、"/>
      <w:lvlJc w:val="left"/>
      <w:rPr>
        <w:rFonts w:hint="eastAsia"/>
      </w:rPr>
    </w:lvl>
  </w:abstractNum>
  <w:abstractNum w:abstractNumId="2">
    <w:nsid w:val="1BBA306B"/>
    <w:multiLevelType w:val="singleLevel"/>
    <w:tmpl w:val="1BBA306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NGZjZDBkMTIxNDNjMWRmMDExNmUyNTk3NzY5ZDIifQ=="/>
  </w:docVars>
  <w:rsids>
    <w:rsidRoot w:val="00603B97"/>
    <w:rsid w:val="0001010D"/>
    <w:rsid w:val="000B0324"/>
    <w:rsid w:val="000F604A"/>
    <w:rsid w:val="0018599F"/>
    <w:rsid w:val="001F67D4"/>
    <w:rsid w:val="00201864"/>
    <w:rsid w:val="00295756"/>
    <w:rsid w:val="00303C0E"/>
    <w:rsid w:val="00307F2F"/>
    <w:rsid w:val="00330A81"/>
    <w:rsid w:val="003A0E4C"/>
    <w:rsid w:val="004C5073"/>
    <w:rsid w:val="00553EC8"/>
    <w:rsid w:val="0055761A"/>
    <w:rsid w:val="0057083F"/>
    <w:rsid w:val="00603B97"/>
    <w:rsid w:val="00713155"/>
    <w:rsid w:val="0079162B"/>
    <w:rsid w:val="00841A7C"/>
    <w:rsid w:val="00845524"/>
    <w:rsid w:val="00941230"/>
    <w:rsid w:val="00946DE1"/>
    <w:rsid w:val="00982058"/>
    <w:rsid w:val="00AB0BDA"/>
    <w:rsid w:val="00B264FB"/>
    <w:rsid w:val="00B62A17"/>
    <w:rsid w:val="00BC1D38"/>
    <w:rsid w:val="00BE5336"/>
    <w:rsid w:val="00D31580"/>
    <w:rsid w:val="00D60689"/>
    <w:rsid w:val="00D92452"/>
    <w:rsid w:val="00E37B4E"/>
    <w:rsid w:val="00E471F5"/>
    <w:rsid w:val="00E73F30"/>
    <w:rsid w:val="00E80502"/>
    <w:rsid w:val="00EA7180"/>
    <w:rsid w:val="00F04D99"/>
    <w:rsid w:val="00F24577"/>
    <w:rsid w:val="00F275A7"/>
    <w:rsid w:val="00FA3E3F"/>
    <w:rsid w:val="00FA7E8E"/>
    <w:rsid w:val="012B4701"/>
    <w:rsid w:val="03565E78"/>
    <w:rsid w:val="04602913"/>
    <w:rsid w:val="0661763E"/>
    <w:rsid w:val="066606B5"/>
    <w:rsid w:val="06737977"/>
    <w:rsid w:val="08C750ED"/>
    <w:rsid w:val="0A917D3C"/>
    <w:rsid w:val="0AF4186D"/>
    <w:rsid w:val="0C717FF0"/>
    <w:rsid w:val="0E9E08C9"/>
    <w:rsid w:val="0FDE5D40"/>
    <w:rsid w:val="10F158E1"/>
    <w:rsid w:val="1323348A"/>
    <w:rsid w:val="14287EB9"/>
    <w:rsid w:val="15A11A56"/>
    <w:rsid w:val="162868D4"/>
    <w:rsid w:val="17914BFF"/>
    <w:rsid w:val="182C6276"/>
    <w:rsid w:val="18A50FD1"/>
    <w:rsid w:val="19F77E0F"/>
    <w:rsid w:val="1CD3729C"/>
    <w:rsid w:val="234611FA"/>
    <w:rsid w:val="25065E09"/>
    <w:rsid w:val="25D209A2"/>
    <w:rsid w:val="2913254D"/>
    <w:rsid w:val="29EE4586"/>
    <w:rsid w:val="2A1429B5"/>
    <w:rsid w:val="2F4F60AD"/>
    <w:rsid w:val="2F730E03"/>
    <w:rsid w:val="33337A76"/>
    <w:rsid w:val="346534AA"/>
    <w:rsid w:val="38BB7B3D"/>
    <w:rsid w:val="39DC1AC5"/>
    <w:rsid w:val="3B133BFB"/>
    <w:rsid w:val="3C0435A9"/>
    <w:rsid w:val="3F6709EE"/>
    <w:rsid w:val="42CD0B98"/>
    <w:rsid w:val="44670B79"/>
    <w:rsid w:val="446D5994"/>
    <w:rsid w:val="45B21644"/>
    <w:rsid w:val="4753521B"/>
    <w:rsid w:val="49B52386"/>
    <w:rsid w:val="4AE01EFC"/>
    <w:rsid w:val="4B8E2E8F"/>
    <w:rsid w:val="4D5058DB"/>
    <w:rsid w:val="4ED022AD"/>
    <w:rsid w:val="51996265"/>
    <w:rsid w:val="52EF11A6"/>
    <w:rsid w:val="542379BD"/>
    <w:rsid w:val="55264138"/>
    <w:rsid w:val="55354957"/>
    <w:rsid w:val="55852ADC"/>
    <w:rsid w:val="571F47C4"/>
    <w:rsid w:val="59C052E8"/>
    <w:rsid w:val="5B6B39AF"/>
    <w:rsid w:val="5DEA2DC5"/>
    <w:rsid w:val="5DFC06A0"/>
    <w:rsid w:val="5FAA4512"/>
    <w:rsid w:val="60860C37"/>
    <w:rsid w:val="60B30F76"/>
    <w:rsid w:val="6198016C"/>
    <w:rsid w:val="630B6480"/>
    <w:rsid w:val="645962D8"/>
    <w:rsid w:val="64D46705"/>
    <w:rsid w:val="67EB126B"/>
    <w:rsid w:val="6951435D"/>
    <w:rsid w:val="699F04C7"/>
    <w:rsid w:val="6AB90AB8"/>
    <w:rsid w:val="6B5A2A2C"/>
    <w:rsid w:val="6C8241D9"/>
    <w:rsid w:val="6CCB6586"/>
    <w:rsid w:val="6FEF5D43"/>
    <w:rsid w:val="704264B0"/>
    <w:rsid w:val="797A57E4"/>
    <w:rsid w:val="7AD61FD9"/>
    <w:rsid w:val="7F45772D"/>
    <w:rsid w:val="7F751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uiPriority w:val="99"/>
    <w:pPr>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otnote reference"/>
    <w:basedOn w:val="8"/>
    <w:semiHidden/>
    <w:unhideWhenUsed/>
    <w:uiPriority w:val="99"/>
    <w:rPr>
      <w:vertAlign w:val="superscript"/>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10FBA-8007-4BB9-AEF3-F4683D10AE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2958</Words>
  <Characters>3077</Characters>
  <Lines>14</Lines>
  <Paragraphs>4</Paragraphs>
  <TotalTime>9</TotalTime>
  <ScaleCrop>false</ScaleCrop>
  <LinksUpToDate>false</LinksUpToDate>
  <CharactersWithSpaces>3085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2020-07-10T02:03:00Z</dcterms:created>
  <dc:creator>China</dc:creator>
  <cp:lastModifiedBy>Administrator</cp:lastModifiedBy>
  <cp:lastPrinted>2023-01-16T06:26:39Z</cp:lastPrinted>
  <dcterms:modified xsi:type="dcterms:W3CDTF">2023-01-16T06:28:16Z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E85CC72F70CC4872B92B0C06EE4C350B</vt:lpwstr>
  </property>
</Properties>
</file>