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1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台儿庄区退役军人事务局2021年政府信息公开工作年度报告</w:t>
      </w:r>
      <w:bookmarkEnd w:id="1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703"/>
        <w:textAlignment w:val="auto"/>
        <w:rPr>
          <w:rFonts w:hint="eastAsia"/>
          <w:color w:va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2021年，区退役军人事务局始终认真贯彻落实中央、省、市、区关于政府信息公开工作要求，坚持以政府信息公开促进政务服务质量提升，取得了较好的成效。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现将工作情况报告如下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zh-CN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9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本报告中所列数据的统计时限为2021年1月1日至2021年12月31日。本报告可通过台儿庄区政府门户网站（http://www.tez.gov.cn/）查阅或下载。如需咨询，请与台儿庄区退役军人事务局办公室联系（地址：枣庄市台儿庄区兴中路7号；邮编：277400；联系电话：0632-6611711；传真：0632-6611711；电子邮箱：tyjrbgs@zz.shandong.cn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96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sz w:val="32"/>
          <w:szCs w:val="32"/>
          <w:lang w:val="en-US" w:eastAsia="zh-CN"/>
        </w:rPr>
        <w:t>（一）主动公开情况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结合省退役军人事务厅梳理的省、市、县三级权责清单通用目录进行认领，印发各业务科室，并根据事项承接和区政府行政权力事项调整情况动态调整权责清单。2021年，处理行政给付、行政确认等对外管理服务事项共计276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解读退役军人创业扶持政策1期。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力推进“一窗受理”改革。区退役军人服务大厅设置服务窗口6个，配备工作人员6人，建立了前台统一受理、分类审批、集中办理的政务服务模式。同时，对依申请事项更新网上公示信息，规范使用政务服务平台，共享的材料不用群众重复提交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2021年全年公开各类文件、办事规程、信息40余件。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96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（二）依申请公开情况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96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2021年，我局共收到信息公开申请1件，结转下年度继续办理。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（三）政府信息管理。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根据工作要求，重点对贯彻落实国家、省、市出台的退役军人政策的执行情况、工作进展情况、退役军人和优抚对象关注的热点等，及时通过区政府网站、融媒体中心等渠道及时公开。</w:t>
      </w:r>
    </w:p>
    <w:p>
      <w:pPr>
        <w:ind w:firstLine="596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（四）政府信息公开平台建设。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按照区政府办公室要求正确使用互联网政府信息公开平台，不断优化政务服务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在政府网站稳岗就业专栏发布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台儿庄区内企业招聘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信息，全力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做好我区退役军人就业服务工作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促进退役军人发挥个人才能为家乡建设添砖加瓦。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9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（五）监督保障。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把政务公开纳入事业单位绩效考核体系，加大对政务公开培训力度，不断提高政务公开水平。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二、主动公开政府信息情况</w:t>
      </w:r>
    </w:p>
    <w:tbl>
      <w:tblPr>
        <w:tblStyle w:val="7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三、收到和处理政府信息公开申请情况</w:t>
      </w:r>
    </w:p>
    <w:tbl>
      <w:tblPr>
        <w:tblStyle w:val="7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四、因政府信息公开工作被申请行政复议、提起行政诉讼情况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（一）存在问题：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政府信息公开年报中，由于无专业工作人员，对于政府信息公开中图文并茂、电子书、有声阅读多样化发布，并进行图文、动漫等多样化解读方面有欠缺。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（二）改进措施：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一方面，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典型引领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切实提高信息内容编发质量，强化办事服务功能建设，不断提升政府网站浏览体验和服务便利度。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另一方面，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对其他地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在政府网站建设管理和政务新媒体运营上的好做法和好经验，加强学习借鉴，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学习利用图文、视频、H5、电子书等多媒体产品加强解读的优秀经验，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提高信息内容发布质量。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1、机构职能：公开了台儿庄区退役军人事务局机关简介、台儿庄区退役军人事务局领导信息、台儿庄区退役军人事务局机构设置。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2、工作动态信息公开情况：公开了20项工作动态信息。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3、政策文件与解读：公开了《关于退役军人创业扶持政策的实施办法》。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4、部门会议：公开了台儿庄区退役军人事务局局长办公会议纪要8期。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5、政府工作报告落实：公开了台儿庄区退役军人事务局2021年政府工作报告分解重点工作目标任务完成情况（第二、三、四季度）。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政务公开保障机制：工作机制方面，公开了《关于成立台儿庄区退役军人事务局政府信息公开领导小组的通知》；人员配备方面，公开了《台儿庄区退役军人事务局政务公开承担机构及人员配备情况》；工作机构方面，公开了《台儿庄区退役军人事务局政务公开工作机构》；政务公开业务培训方面，公开了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台儿庄区退役军人事务局召开2021年政务公开培训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计划》和《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台儿庄区退役军人事务局召开2021年政务公开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培训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会议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》；政务公开工作推进方面，公开了《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台儿庄区退役军人事务局2021年政务公开工作实施方案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》；主动公开基本目录方面，公开了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台儿庄区2021年退役军人事务局主动公开基本目录（含重点领域）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7、行政权力运行公开：公开了《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台儿庄区退役军人事务局2021年度“双随机、一公开”随机抽查事项清单说明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27"/>
          <w:szCs w:val="27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8、重点领域信息公开：稳岗就业方面公开了政策制度2个、稳岗就业信息2期。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left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27"/>
          <w:szCs w:val="27"/>
          <w:u w:val="none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5" w:lineRule="atLeast"/>
        <w:ind w:left="0" w:right="0" w:firstLine="634"/>
        <w:jc w:val="left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7"/>
          <w:szCs w:val="27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台儿庄区退役军人事务局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6A01"/>
    <w:rsid w:val="08F0335D"/>
    <w:rsid w:val="0C755446"/>
    <w:rsid w:val="0CC71781"/>
    <w:rsid w:val="0E7773F1"/>
    <w:rsid w:val="118D1775"/>
    <w:rsid w:val="121B0A11"/>
    <w:rsid w:val="133833D9"/>
    <w:rsid w:val="158C3568"/>
    <w:rsid w:val="193D0B06"/>
    <w:rsid w:val="208C08C0"/>
    <w:rsid w:val="22A33784"/>
    <w:rsid w:val="24BE6A96"/>
    <w:rsid w:val="256B1276"/>
    <w:rsid w:val="26F44988"/>
    <w:rsid w:val="2BD355F5"/>
    <w:rsid w:val="2BF26969"/>
    <w:rsid w:val="2C2A71DF"/>
    <w:rsid w:val="2C404D16"/>
    <w:rsid w:val="30E63AD0"/>
    <w:rsid w:val="3853641F"/>
    <w:rsid w:val="38E057F5"/>
    <w:rsid w:val="3BC3100E"/>
    <w:rsid w:val="42383FAC"/>
    <w:rsid w:val="42BA1019"/>
    <w:rsid w:val="44000AFA"/>
    <w:rsid w:val="44C1472D"/>
    <w:rsid w:val="46151094"/>
    <w:rsid w:val="46467C87"/>
    <w:rsid w:val="528E47FB"/>
    <w:rsid w:val="537B179C"/>
    <w:rsid w:val="538F5D77"/>
    <w:rsid w:val="55162415"/>
    <w:rsid w:val="561F5757"/>
    <w:rsid w:val="5CE96177"/>
    <w:rsid w:val="5D524BEA"/>
    <w:rsid w:val="5E086AD1"/>
    <w:rsid w:val="61F63AEF"/>
    <w:rsid w:val="63541F7B"/>
    <w:rsid w:val="67A226DD"/>
    <w:rsid w:val="70F57389"/>
    <w:rsid w:val="73B13A3B"/>
    <w:rsid w:val="768216BE"/>
    <w:rsid w:val="778E1B19"/>
    <w:rsid w:val="7A74753B"/>
    <w:rsid w:val="7F58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/>
      <w:color w:val="000000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Acronym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Sample"/>
    <w:basedOn w:val="8"/>
    <w:qFormat/>
    <w:uiPriority w:val="0"/>
    <w:rPr>
      <w:rFonts w:ascii="Courier New" w:hAnsi="Courier New"/>
    </w:rPr>
  </w:style>
  <w:style w:type="paragraph" w:customStyle="1" w:styleId="1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2022-01-04T02:32:00Z</dcterms:created>
  <dc:creator>Administrator</dc:creator>
  <cp:lastModifiedBy>猫咪小姐</cp:lastModifiedBy>
  <cp:lastPrinted>2022-01-07T08:02:00Z</cp:lastPrinted>
  <dcterms:modified xsi:type="dcterms:W3CDTF">2022-03-24T03:12:59Z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ADBFAE240FD1419CB53C957D86D75D95</vt:lpwstr>
  </property>
</Properties>
</file>