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仿宋_GB2312"/>
          <w:b/>
          <w:bCs/>
          <w:color w:val="000000"/>
          <w:sz w:val="36"/>
          <w:szCs w:val="36"/>
        </w:rPr>
      </w:pPr>
      <w:r>
        <w:rPr>
          <w:rFonts w:hint="eastAsia" w:ascii="黑体" w:hAnsi="黑体" w:eastAsia="黑体" w:cs="黑体"/>
          <w:b/>
          <w:bCs/>
          <w:sz w:val="36"/>
          <w:szCs w:val="36"/>
        </w:rPr>
        <w:t>枣庄市</w:t>
      </w:r>
      <w:r>
        <w:rPr>
          <w:rFonts w:hint="eastAsia" w:ascii="黑体" w:hAnsi="黑体" w:eastAsia="黑体" w:cs="黑体"/>
          <w:b/>
          <w:bCs/>
          <w:sz w:val="36"/>
          <w:szCs w:val="36"/>
          <w:lang w:eastAsia="zh-CN"/>
        </w:rPr>
        <w:t>台儿</w:t>
      </w:r>
      <w:r>
        <w:rPr>
          <w:rFonts w:hint="eastAsia" w:ascii="黑体" w:hAnsi="黑体" w:eastAsia="黑体" w:cs="仿宋_GB2312"/>
          <w:b/>
          <w:bCs/>
          <w:color w:val="000000"/>
          <w:sz w:val="36"/>
          <w:szCs w:val="36"/>
          <w:lang w:eastAsia="zh-CN"/>
        </w:rPr>
        <w:t>庄区</w:t>
      </w:r>
      <w:r>
        <w:rPr>
          <w:rFonts w:hint="eastAsia" w:ascii="黑体" w:hAnsi="黑体" w:eastAsia="黑体" w:cs="仿宋_GB2312"/>
          <w:b/>
          <w:bCs/>
          <w:color w:val="000000"/>
          <w:sz w:val="36"/>
          <w:szCs w:val="36"/>
        </w:rPr>
        <w:t>气象局</w:t>
      </w:r>
    </w:p>
    <w:p>
      <w:pPr>
        <w:jc w:val="center"/>
        <w:rPr>
          <w:rFonts w:ascii="黑体" w:hAnsi="黑体" w:eastAsia="黑体" w:cs="仿宋_GB2312"/>
          <w:b/>
          <w:bCs/>
          <w:color w:val="000000"/>
          <w:sz w:val="36"/>
          <w:szCs w:val="36"/>
        </w:rPr>
      </w:pPr>
      <w:r>
        <w:rPr>
          <w:rFonts w:ascii="黑体" w:hAnsi="黑体" w:eastAsia="黑体" w:cs="仿宋_GB2312"/>
          <w:b/>
          <w:bCs/>
          <w:color w:val="000000"/>
          <w:sz w:val="36"/>
          <w:szCs w:val="36"/>
        </w:rPr>
        <w:t>权限范围内防雷装置</w:t>
      </w:r>
      <w:r>
        <w:rPr>
          <w:rFonts w:hint="eastAsia" w:ascii="黑体" w:hAnsi="黑体" w:eastAsia="黑体" w:cs="仿宋_GB2312"/>
          <w:b/>
          <w:bCs/>
          <w:color w:val="000000"/>
          <w:sz w:val="36"/>
          <w:szCs w:val="36"/>
        </w:rPr>
        <w:t>竣工验收服务指南</w:t>
      </w:r>
    </w:p>
    <w:p>
      <w:pPr>
        <w:rPr>
          <w:rFonts w:hint="eastAsia" w:ascii="楷体_GB2312" w:hAnsi="楷体_GB2312" w:eastAsia="楷体_GB2312" w:cs="楷体_GB2312"/>
          <w:b/>
          <w:sz w:val="32"/>
          <w:szCs w:val="32"/>
        </w:rPr>
      </w:pPr>
    </w:p>
    <w:p>
      <w:pPr>
        <w:rPr>
          <w:rFonts w:ascii="楷体_GB2312" w:hAnsi="楷体_GB2312" w:eastAsia="楷体_GB2312" w:cs="楷体_GB2312"/>
          <w:b/>
          <w:sz w:val="32"/>
          <w:szCs w:val="32"/>
        </w:rPr>
      </w:pPr>
      <w:r>
        <w:rPr>
          <w:rFonts w:hint="eastAsia" w:ascii="楷体_GB2312" w:hAnsi="楷体_GB2312" w:eastAsia="楷体_GB2312" w:cs="楷体_GB2312"/>
          <w:b/>
          <w:sz w:val="32"/>
          <w:szCs w:val="32"/>
        </w:rPr>
        <w:t>事项类别：行政许可</w:t>
      </w:r>
    </w:p>
    <w:p>
      <w:r>
        <w:rPr>
          <w:rFonts w:hint="eastAsia" w:ascii="楷体_GB2312" w:hAnsi="楷体_GB2312" w:eastAsia="楷体_GB2312" w:cs="楷体_GB2312"/>
          <w:b/>
          <w:sz w:val="32"/>
          <w:szCs w:val="32"/>
        </w:rPr>
        <w:t>事项编码： 12370405004252600U4370154004002</w:t>
      </w:r>
    </w:p>
    <w:p>
      <w:pPr>
        <w:spacing w:line="320" w:lineRule="exact"/>
        <w:rPr>
          <w:rFonts w:hint="eastAsia" w:ascii="黑体" w:hAnsi="黑体" w:eastAsia="黑体" w:cs="黑体"/>
          <w:color w:val="000000" w:themeColor="text1"/>
          <w:kern w:val="0"/>
          <w:sz w:val="24"/>
        </w:rPr>
      </w:pPr>
    </w:p>
    <w:p>
      <w:pPr>
        <w:spacing w:line="320" w:lineRule="exact"/>
        <w:rPr>
          <w:rFonts w:cs="黑体" w:asciiTheme="minorEastAsia" w:hAnsiTheme="minorEastAsia" w:eastAsiaTheme="minorEastAsia"/>
          <w:color w:val="000000" w:themeColor="text1"/>
          <w:kern w:val="0"/>
          <w:sz w:val="24"/>
        </w:rPr>
      </w:pPr>
      <w:r>
        <w:rPr>
          <w:rFonts w:hint="eastAsia" w:ascii="黑体" w:hAnsi="黑体" w:eastAsia="黑体" w:cs="黑体"/>
          <w:color w:val="000000" w:themeColor="text1"/>
          <w:kern w:val="0"/>
          <w:sz w:val="24"/>
        </w:rPr>
        <w:t>（一）</w:t>
      </w:r>
      <w:r>
        <w:rPr>
          <w:rFonts w:hint="eastAsia" w:ascii="黑体" w:hAnsi="黑体" w:eastAsia="黑体" w:cs="宋体"/>
          <w:color w:val="000000" w:themeColor="text1"/>
          <w:sz w:val="24"/>
        </w:rPr>
        <w:t>事项设定层级：</w:t>
      </w:r>
      <w:r>
        <w:rPr>
          <w:rFonts w:hint="eastAsia" w:cs="宋体" w:asciiTheme="minorEastAsia" w:hAnsiTheme="minorEastAsia" w:eastAsiaTheme="minorEastAsia"/>
          <w:color w:val="000000" w:themeColor="text1"/>
          <w:sz w:val="24"/>
        </w:rPr>
        <w:t>法律</w:t>
      </w:r>
    </w:p>
    <w:p>
      <w:pPr>
        <w:spacing w:line="320" w:lineRule="exact"/>
        <w:rPr>
          <w:rFonts w:ascii="黑体" w:hAnsi="黑体" w:eastAsia="黑体"/>
          <w:color w:val="000000" w:themeColor="text1"/>
          <w:sz w:val="24"/>
        </w:rPr>
      </w:pPr>
      <w:r>
        <w:rPr>
          <w:rFonts w:hint="eastAsia" w:ascii="黑体" w:hAnsi="黑体" w:eastAsia="黑体" w:cs="黑体"/>
          <w:color w:val="000000" w:themeColor="text1"/>
          <w:kern w:val="0"/>
          <w:sz w:val="24"/>
        </w:rPr>
        <w:t>（二）</w:t>
      </w:r>
      <w:r>
        <w:rPr>
          <w:rFonts w:hint="eastAsia" w:ascii="黑体" w:hAnsi="黑体" w:eastAsia="黑体" w:cs="宋体"/>
          <w:color w:val="000000" w:themeColor="text1"/>
          <w:sz w:val="24"/>
        </w:rPr>
        <w:t>设定依据及条款：</w:t>
      </w:r>
    </w:p>
    <w:p>
      <w:pPr>
        <w:spacing w:line="320" w:lineRule="exact"/>
        <w:ind w:firstLine="240" w:firstLineChars="100"/>
        <w:rPr>
          <w:rFonts w:cs="Segoe UI" w:asciiTheme="minorEastAsia" w:hAnsiTheme="minorEastAsia" w:eastAsiaTheme="minorEastAsia"/>
          <w:color w:val="000000" w:themeColor="text1"/>
          <w:sz w:val="24"/>
          <w:shd w:val="clear" w:color="auto" w:fill="F5F7FA"/>
        </w:rPr>
      </w:pPr>
      <w:r>
        <w:rPr>
          <w:rFonts w:hint="eastAsia" w:cs="仿宋_GB2312" w:asciiTheme="minorEastAsia" w:hAnsiTheme="minorEastAsia" w:eastAsiaTheme="minorEastAsia"/>
          <w:color w:val="000000" w:themeColor="text1"/>
          <w:sz w:val="24"/>
        </w:rPr>
        <w:t>1、</w:t>
      </w:r>
      <w:r>
        <w:rPr>
          <w:rFonts w:hint="eastAsia" w:cs="Segoe UI" w:asciiTheme="minorEastAsia" w:hAnsiTheme="minorEastAsia" w:eastAsiaTheme="minorEastAsia"/>
          <w:color w:val="000000" w:themeColor="text1"/>
          <w:sz w:val="24"/>
        </w:rPr>
        <w:t>《中华人民共和国气象法》第三十一条　各级气象主管机构应当加强对雷电灾害防御工作的组织管理,并会同有关部门指导对可能遭受雷击的建筑物、构筑物和其他设施安装的雷电灾害防护装置的检测工作。</w:t>
      </w:r>
    </w:p>
    <w:p>
      <w:pPr>
        <w:spacing w:line="320" w:lineRule="exact"/>
        <w:ind w:firstLine="240" w:firstLineChars="100"/>
        <w:rPr>
          <w:rFonts w:cs="Segoe UI" w:asciiTheme="minorEastAsia" w:hAnsiTheme="minorEastAsia" w:eastAsiaTheme="minorEastAsia"/>
          <w:color w:val="000000" w:themeColor="text1"/>
          <w:sz w:val="24"/>
        </w:rPr>
      </w:pPr>
      <w:r>
        <w:rPr>
          <w:rFonts w:hint="eastAsia" w:cs="仿宋_GB2312" w:asciiTheme="minorEastAsia" w:hAnsiTheme="minorEastAsia" w:eastAsiaTheme="minorEastAsia"/>
          <w:color w:val="000000" w:themeColor="text1"/>
          <w:sz w:val="24"/>
        </w:rPr>
        <w:t>2、</w:t>
      </w:r>
      <w:r>
        <w:rPr>
          <w:rFonts w:hint="eastAsia" w:cs="Segoe UI" w:asciiTheme="minorEastAsia" w:hAnsiTheme="minorEastAsia" w:eastAsiaTheme="minorEastAsia"/>
          <w:color w:val="000000" w:themeColor="text1"/>
          <w:sz w:val="24"/>
        </w:rPr>
        <w:t>《气象灾害防御条例》第二十三条　各类建（构）筑物、场所和设施安装雷电防护装置应当符合国家有关防雷标准的规定。新建、改建、扩建建（构）筑物、场所和设施的雷电防护装置应当与主体工程同时设计、同时施工、同时投入使用。 新建、改建、扩建建设工程雷电防护装置的设计、施工，可以由取得相应建设、公路、水路、铁路、民航、水利、电力、核电、通信等专业工程设计、施工资质的单位承担。 油库、气库、弹药库、化学品仓库和烟花爆竹、石化等易燃易爆建设工程和场所，雷电易发区内的矿区、旅游景点或者投入使用的建（构）筑物、设施等需要单独安装雷电防护装置的场所，以及雷电风险高且没有防雷标准规范、需要进行特殊论证的大型项目，其雷电防护装置的设计审核和竣工验收由县级以上地方气象主管机构负责。未经设计审核或者设计审核不合格的，不得施工；未经竣工验收或者竣工验收不合格的，不得交付使用。 房屋建筑、市政基础设施、公路、水路、铁路、民航、水利、电力、核电、通信等建设工程的主管部门，负责相应领域内建设工程的防雷管理。</w:t>
      </w:r>
    </w:p>
    <w:p>
      <w:pPr>
        <w:spacing w:line="320" w:lineRule="exact"/>
        <w:ind w:firstLine="240" w:firstLineChars="100"/>
        <w:rPr>
          <w:rFonts w:cs="仿宋_GB2312" w:asciiTheme="minorEastAsia" w:hAnsiTheme="minorEastAsia" w:eastAsiaTheme="minorEastAsia"/>
          <w:color w:val="000000" w:themeColor="text1"/>
          <w:sz w:val="24"/>
        </w:rPr>
      </w:pPr>
      <w:r>
        <w:rPr>
          <w:rFonts w:hint="eastAsia" w:cs="仿宋_GB2312" w:asciiTheme="minorEastAsia" w:hAnsiTheme="minorEastAsia" w:eastAsiaTheme="minorEastAsia"/>
          <w:color w:val="000000" w:themeColor="text1"/>
          <w:sz w:val="24"/>
        </w:rPr>
        <w:t>3、</w:t>
      </w:r>
      <w:r>
        <w:rPr>
          <w:rFonts w:hint="eastAsia" w:cs="Segoe UI" w:asciiTheme="minorEastAsia" w:hAnsiTheme="minorEastAsia" w:eastAsiaTheme="minorEastAsia"/>
          <w:color w:val="000000" w:themeColor="text1"/>
          <w:sz w:val="24"/>
        </w:rPr>
        <w:t>《山东省气象灾害防御条例》第二十条 油库、气库、弹药库、化学品仓库和烟花爆竹、石化等易燃易爆建设工程和场所，雷电易发区的矿区、旅游景点或者投入使用的建（构）物、设施等需要单独安装雷电防护装置的场所，以及雷电风险高且没有防雷标准规范、需要进行特殊论证的大型项目，其雷电防护装置的设计审核和竣工验收由县级以上地方气象主管机构负责。未经设计审核或者设计审核不合格的，不得施工；未经竣工验收或者竣工验收不合格的，不得交付使用。 房屋建筑、市政基础设施、公路、水路、铁路、民航、水利、电力、核电、通信等建设工程的主管部门，负责相应领域内建设工程的防雷管理。</w:t>
      </w:r>
    </w:p>
    <w:p>
      <w:pPr>
        <w:pStyle w:val="3"/>
        <w:spacing w:after="0" w:line="320" w:lineRule="exact"/>
        <w:ind w:left="0" w:leftChars="0"/>
        <w:rPr>
          <w:rFonts w:cs="宋体" w:asciiTheme="minorEastAsia" w:hAnsiTheme="minorEastAsia" w:eastAsiaTheme="minorEastAsia"/>
          <w:color w:val="000000" w:themeColor="text1"/>
          <w:sz w:val="24"/>
        </w:rPr>
      </w:pPr>
      <w:r>
        <w:rPr>
          <w:rFonts w:hint="eastAsia" w:ascii="黑体" w:hAnsi="黑体" w:eastAsia="黑体" w:cs="宋体"/>
          <w:color w:val="000000" w:themeColor="text1"/>
          <w:sz w:val="24"/>
        </w:rPr>
        <w:t>（三）申请主体：</w:t>
      </w:r>
      <w:r>
        <w:rPr>
          <w:rFonts w:hint="eastAsia" w:cs="宋体" w:asciiTheme="minorEastAsia" w:hAnsiTheme="minorEastAsia" w:eastAsiaTheme="minorEastAsia"/>
          <w:color w:val="000000" w:themeColor="text1"/>
          <w:sz w:val="24"/>
        </w:rPr>
        <w:t>事业法人</w:t>
      </w:r>
    </w:p>
    <w:p>
      <w:pPr>
        <w:pStyle w:val="3"/>
        <w:spacing w:after="0" w:line="320" w:lineRule="exact"/>
        <w:ind w:left="0" w:leftChars="0"/>
        <w:rPr>
          <w:rFonts w:ascii="黑体" w:hAnsi="黑体" w:eastAsia="黑体" w:cs="宋体"/>
          <w:color w:val="000000" w:themeColor="text1"/>
          <w:sz w:val="24"/>
        </w:rPr>
      </w:pPr>
      <w:r>
        <w:rPr>
          <w:rFonts w:hint="eastAsia" w:ascii="黑体" w:hAnsi="黑体" w:eastAsia="黑体" w:cs="宋体"/>
          <w:color w:val="000000" w:themeColor="text1"/>
          <w:sz w:val="24"/>
        </w:rPr>
        <w:t>（四）办理条件：</w:t>
      </w:r>
    </w:p>
    <w:p>
      <w:pPr>
        <w:spacing w:line="320" w:lineRule="exact"/>
        <w:ind w:firstLine="240" w:firstLineChars="100"/>
        <w:rPr>
          <w:rFonts w:cs="仿宋" w:asciiTheme="minorEastAsia" w:hAnsiTheme="minorEastAsia" w:eastAsiaTheme="minorEastAsia"/>
          <w:color w:val="000000" w:themeColor="text1"/>
          <w:sz w:val="24"/>
        </w:rPr>
      </w:pPr>
      <w:r>
        <w:rPr>
          <w:rFonts w:hint="eastAsia" w:cs="仿宋" w:asciiTheme="minorEastAsia" w:hAnsiTheme="minorEastAsia" w:eastAsiaTheme="minorEastAsia"/>
          <w:color w:val="000000" w:themeColor="text1"/>
          <w:sz w:val="24"/>
        </w:rPr>
        <w:t>1.油库、气库、弹药库、化学品仓库、烟花爆竹、石化等易燃易爆建设工程和场所，雷电易发区内的矿区、旅游景点或者投入使用的建（构）筑物、设施等需要单独安装雷电防护装置的场所，以及雷电风险高且没有防雷标准规范、需要进行特殊论证的大型项目。</w:t>
      </w:r>
    </w:p>
    <w:p>
      <w:pPr>
        <w:spacing w:line="320" w:lineRule="exact"/>
        <w:ind w:firstLine="240" w:firstLineChars="100"/>
        <w:rPr>
          <w:rFonts w:cs="仿宋" w:asciiTheme="minorEastAsia" w:hAnsiTheme="minorEastAsia" w:eastAsiaTheme="minorEastAsia"/>
          <w:color w:val="000000" w:themeColor="text1"/>
          <w:sz w:val="24"/>
        </w:rPr>
      </w:pPr>
      <w:r>
        <w:rPr>
          <w:rFonts w:hint="eastAsia" w:cs="仿宋" w:asciiTheme="minorEastAsia" w:hAnsiTheme="minorEastAsia" w:eastAsiaTheme="minorEastAsia"/>
          <w:color w:val="000000" w:themeColor="text1"/>
          <w:sz w:val="24"/>
        </w:rPr>
        <w:t>2.在上述范围内，按照法律法规规定必须安装防雷装置的。</w:t>
      </w:r>
    </w:p>
    <w:p>
      <w:pPr>
        <w:spacing w:line="320" w:lineRule="exact"/>
        <w:rPr>
          <w:rFonts w:cs="宋体" w:asciiTheme="minorEastAsia" w:hAnsiTheme="minorEastAsia" w:eastAsiaTheme="minorEastAsia"/>
          <w:color w:val="000000" w:themeColor="text1"/>
          <w:sz w:val="24"/>
        </w:rPr>
      </w:pPr>
      <w:r>
        <w:rPr>
          <w:rFonts w:hint="eastAsia" w:ascii="黑体" w:hAnsi="黑体" w:eastAsia="黑体" w:cs="宋体"/>
          <w:color w:val="000000" w:themeColor="text1"/>
          <w:sz w:val="24"/>
        </w:rPr>
        <w:t>（五）申请材料名称、来源、数量及介质要求</w:t>
      </w:r>
      <w:r>
        <w:rPr>
          <w:rFonts w:hint="eastAsia" w:cs="宋体" w:asciiTheme="minorEastAsia" w:hAnsiTheme="minorEastAsia" w:eastAsiaTheme="minorEastAsia"/>
          <w:color w:val="000000" w:themeColor="text1"/>
          <w:sz w:val="24"/>
        </w:rPr>
        <w:t>：</w:t>
      </w:r>
    </w:p>
    <w:p>
      <w:pPr>
        <w:ind w:firstLine="240" w:firstLineChars="100"/>
        <w:rPr>
          <w:rFonts w:ascii="宋体" w:hAnsi="宋体"/>
          <w:sz w:val="24"/>
        </w:rPr>
      </w:pPr>
      <w:r>
        <w:rPr>
          <w:rFonts w:hint="eastAsia" w:ascii="宋体" w:hAnsi="宋体"/>
          <w:sz w:val="24"/>
        </w:rPr>
        <w:t>1、</w:t>
      </w:r>
      <w:r>
        <w:rPr>
          <w:rFonts w:hint="eastAsia" w:ascii="宋体" w:hAnsi="宋体"/>
          <w:sz w:val="24"/>
          <w:lang w:eastAsia="zh-CN"/>
        </w:rPr>
        <w:t>雷电防护</w:t>
      </w:r>
      <w:r>
        <w:rPr>
          <w:rFonts w:hint="eastAsia" w:ascii="宋体" w:hAnsi="宋体"/>
          <w:sz w:val="24"/>
        </w:rPr>
        <w:t>装置竣工验收申请</w:t>
      </w:r>
      <w:r>
        <w:rPr>
          <w:rFonts w:hint="eastAsia" w:ascii="宋体" w:hAnsi="宋体"/>
          <w:sz w:val="24"/>
          <w:lang w:eastAsia="zh-CN"/>
        </w:rPr>
        <w:t>表</w:t>
      </w:r>
      <w:r>
        <w:rPr>
          <w:rFonts w:hint="eastAsia" w:ascii="宋体" w:hAnsi="宋体"/>
          <w:sz w:val="24"/>
        </w:rPr>
        <w:t>（原件1份，纸质）；</w:t>
      </w:r>
    </w:p>
    <w:p>
      <w:pPr>
        <w:ind w:firstLine="240" w:firstLineChars="100"/>
        <w:rPr>
          <w:rFonts w:ascii="宋体" w:hAnsi="宋体"/>
          <w:sz w:val="24"/>
        </w:rPr>
      </w:pPr>
      <w:r>
        <w:rPr>
          <w:rFonts w:hint="eastAsia" w:ascii="宋体" w:hAnsi="宋体"/>
          <w:sz w:val="24"/>
          <w:lang w:val="en-US" w:eastAsia="zh-CN"/>
        </w:rPr>
        <w:t>2</w:t>
      </w:r>
      <w:r>
        <w:rPr>
          <w:rFonts w:hint="eastAsia" w:ascii="宋体" w:hAnsi="宋体"/>
          <w:sz w:val="24"/>
        </w:rPr>
        <w:t>、</w:t>
      </w:r>
      <w:r>
        <w:rPr>
          <w:rFonts w:hint="eastAsia" w:ascii="宋体" w:hAnsi="宋体"/>
          <w:sz w:val="24"/>
          <w:lang w:eastAsia="zh-CN"/>
        </w:rPr>
        <w:t>雷电防护装</w:t>
      </w:r>
      <w:r>
        <w:rPr>
          <w:rFonts w:hint="eastAsia" w:ascii="宋体" w:hAnsi="宋体"/>
          <w:sz w:val="24"/>
        </w:rPr>
        <w:t>置竣工图（原件或复印件1份，纸质或电子版）；</w:t>
      </w:r>
    </w:p>
    <w:p>
      <w:pPr>
        <w:ind w:firstLine="240" w:firstLineChars="100"/>
        <w:rPr>
          <w:rFonts w:ascii="宋体" w:hAnsi="宋体"/>
          <w:sz w:val="24"/>
        </w:rPr>
      </w:pPr>
      <w:r>
        <w:rPr>
          <w:rFonts w:hint="eastAsia" w:ascii="宋体" w:hAnsi="宋体"/>
          <w:sz w:val="24"/>
          <w:lang w:val="en-US" w:eastAsia="zh-CN"/>
        </w:rPr>
        <w:t>3</w:t>
      </w:r>
      <w:r>
        <w:rPr>
          <w:rFonts w:hint="eastAsia" w:ascii="宋体" w:hAnsi="宋体"/>
          <w:sz w:val="24"/>
        </w:rPr>
        <w:t>、</w:t>
      </w:r>
      <w:r>
        <w:rPr>
          <w:rFonts w:hint="eastAsia" w:ascii="宋体" w:hAnsi="宋体"/>
          <w:sz w:val="24"/>
          <w:lang w:eastAsia="zh-CN"/>
        </w:rPr>
        <w:t>防雷产品安装记录</w:t>
      </w:r>
      <w:r>
        <w:rPr>
          <w:rFonts w:hint="eastAsia" w:ascii="宋体" w:hAnsi="宋体"/>
          <w:sz w:val="24"/>
        </w:rPr>
        <w:t>（原件1份，纸质）；</w:t>
      </w:r>
    </w:p>
    <w:p>
      <w:pPr>
        <w:ind w:firstLine="240" w:firstLineChars="100"/>
        <w:rPr>
          <w:rFonts w:ascii="宋体" w:hAnsi="宋体"/>
          <w:sz w:val="24"/>
        </w:rPr>
      </w:pPr>
      <w:r>
        <w:rPr>
          <w:rFonts w:hint="eastAsia" w:ascii="宋体" w:hAnsi="宋体"/>
          <w:sz w:val="24"/>
          <w:lang w:val="en-US" w:eastAsia="zh-CN"/>
        </w:rPr>
        <w:t>4</w:t>
      </w:r>
      <w:r>
        <w:rPr>
          <w:rFonts w:hint="eastAsia" w:ascii="宋体" w:hAnsi="宋体"/>
          <w:sz w:val="24"/>
        </w:rPr>
        <w:t>、防雷产品出厂合格证</w:t>
      </w:r>
      <w:r>
        <w:rPr>
          <w:rFonts w:hint="eastAsia" w:ascii="宋体" w:hAnsi="宋体"/>
          <w:sz w:val="24"/>
          <w:lang w:eastAsia="zh-CN"/>
        </w:rPr>
        <w:t>书</w:t>
      </w:r>
      <w:r>
        <w:rPr>
          <w:rFonts w:hint="eastAsia" w:ascii="宋体" w:hAnsi="宋体"/>
          <w:sz w:val="24"/>
        </w:rPr>
        <w:t>（原件1份，纸质）。</w:t>
      </w:r>
    </w:p>
    <w:p>
      <w:pPr>
        <w:pStyle w:val="3"/>
        <w:spacing w:after="0" w:line="320" w:lineRule="exact"/>
        <w:ind w:left="0" w:leftChars="0"/>
        <w:rPr>
          <w:rFonts w:cs="宋体" w:asciiTheme="minorEastAsia" w:hAnsiTheme="minorEastAsia" w:eastAsiaTheme="minorEastAsia"/>
          <w:color w:val="000000" w:themeColor="text1"/>
          <w:sz w:val="24"/>
        </w:rPr>
      </w:pPr>
      <w:r>
        <w:rPr>
          <w:rFonts w:hint="eastAsia" w:ascii="黑体" w:hAnsi="黑体" w:eastAsia="黑体" w:cs="宋体"/>
          <w:color w:val="000000" w:themeColor="text1"/>
          <w:sz w:val="24"/>
        </w:rPr>
        <w:t>（六）数量信息：</w:t>
      </w:r>
      <w:r>
        <w:rPr>
          <w:rFonts w:hint="eastAsia" w:cs="宋体" w:asciiTheme="minorEastAsia" w:hAnsiTheme="minorEastAsia" w:eastAsiaTheme="minorEastAsia"/>
          <w:color w:val="000000" w:themeColor="text1"/>
          <w:sz w:val="24"/>
        </w:rPr>
        <w:t>无数量限制</w:t>
      </w:r>
    </w:p>
    <w:p>
      <w:pPr>
        <w:pStyle w:val="3"/>
        <w:spacing w:after="0" w:line="320" w:lineRule="exact"/>
        <w:ind w:left="0" w:leftChars="0"/>
        <w:rPr>
          <w:rFonts w:cs="宋体" w:asciiTheme="minorEastAsia" w:hAnsiTheme="minorEastAsia" w:eastAsiaTheme="minorEastAsia"/>
          <w:color w:val="000000" w:themeColor="text1"/>
          <w:sz w:val="24"/>
        </w:rPr>
      </w:pPr>
      <w:r>
        <w:rPr>
          <w:rFonts w:hint="eastAsia" w:ascii="黑体" w:hAnsi="黑体" w:eastAsia="黑体" w:cs="宋体"/>
          <w:color w:val="000000" w:themeColor="text1"/>
          <w:sz w:val="24"/>
        </w:rPr>
        <w:t>（七）禁止性要求</w:t>
      </w:r>
      <w:r>
        <w:rPr>
          <w:rFonts w:hint="eastAsia" w:cs="宋体" w:asciiTheme="minorEastAsia" w:hAnsiTheme="minorEastAsia" w:eastAsiaTheme="minorEastAsia"/>
          <w:color w:val="000000" w:themeColor="text1"/>
          <w:sz w:val="24"/>
        </w:rPr>
        <w:t>：无禁止性要求</w:t>
      </w:r>
    </w:p>
    <w:p>
      <w:pPr>
        <w:spacing w:line="320" w:lineRule="exact"/>
        <w:rPr>
          <w:rFonts w:cs="仿宋" w:asciiTheme="minorEastAsia" w:hAnsiTheme="minorEastAsia" w:eastAsiaTheme="minorEastAsia"/>
          <w:color w:val="000000" w:themeColor="text1"/>
          <w:sz w:val="24"/>
        </w:rPr>
      </w:pPr>
      <w:r>
        <w:rPr>
          <w:rFonts w:hint="eastAsia" w:ascii="黑体" w:hAnsi="黑体" w:eastAsia="黑体" w:cs="宋体"/>
          <w:color w:val="000000" w:themeColor="text1"/>
          <w:sz w:val="24"/>
        </w:rPr>
        <w:t>（八）中介机构和特殊环节:</w:t>
      </w:r>
      <w:r>
        <w:rPr>
          <w:rFonts w:hint="eastAsia" w:cs="宋体" w:asciiTheme="minorEastAsia" w:hAnsiTheme="minorEastAsia" w:eastAsiaTheme="minorEastAsia"/>
          <w:color w:val="000000" w:themeColor="text1"/>
          <w:kern w:val="0"/>
          <w:sz w:val="24"/>
          <w:szCs w:val="24"/>
          <w:lang w:val="en-US" w:eastAsia="zh-CN" w:bidi="ar-SA"/>
        </w:rPr>
        <w:t>无中介机构和</w:t>
      </w:r>
      <w:r>
        <w:rPr>
          <w:rFonts w:hint="eastAsia" w:cs="宋体" w:asciiTheme="minorEastAsia" w:hAnsiTheme="minorEastAsia" w:eastAsiaTheme="minorEastAsia"/>
          <w:color w:val="000000" w:themeColor="text1"/>
          <w:sz w:val="24"/>
        </w:rPr>
        <w:t>特殊环节</w:t>
      </w:r>
      <w:r>
        <w:rPr>
          <w:rFonts w:hint="eastAsia" w:cs="宋体" w:asciiTheme="minorEastAsia" w:hAnsiTheme="minorEastAsia" w:eastAsiaTheme="minorEastAsia"/>
          <w:color w:val="000000" w:themeColor="text1"/>
          <w:sz w:val="24"/>
        </w:rPr>
        <w:br w:type="textWrapping"/>
      </w:r>
      <w:r>
        <w:rPr>
          <w:rFonts w:hint="eastAsia" w:ascii="黑体" w:hAnsi="黑体" w:eastAsia="黑体" w:cs="宋体"/>
          <w:color w:val="000000" w:themeColor="text1"/>
          <w:sz w:val="24"/>
        </w:rPr>
        <w:t>（九）办理流程：</w:t>
      </w:r>
    </w:p>
    <w:p>
      <w:pPr>
        <w:pStyle w:val="3"/>
        <w:spacing w:after="0" w:line="320" w:lineRule="exact"/>
        <w:ind w:left="0" w:leftChars="0" w:firstLine="120" w:firstLineChars="50"/>
        <w:jc w:val="left"/>
        <w:rPr>
          <w:rFonts w:cs="宋体" w:asciiTheme="minorEastAsia" w:hAnsiTheme="minorEastAsia" w:eastAsiaTheme="minorEastAsia"/>
          <w:color w:val="000000" w:themeColor="text1"/>
          <w:spacing w:val="-6"/>
          <w:sz w:val="24"/>
        </w:rPr>
      </w:pPr>
      <w:r>
        <w:rPr>
          <w:rFonts w:hint="eastAsia" w:cs="宋体" w:asciiTheme="minorEastAsia" w:hAnsiTheme="minorEastAsia" w:eastAsiaTheme="minorEastAsia"/>
          <w:color w:val="000000" w:themeColor="text1"/>
          <w:sz w:val="24"/>
        </w:rPr>
        <w:t>1.申请：申请人通过山东</w:t>
      </w:r>
      <w:r>
        <w:rPr>
          <w:rFonts w:hint="eastAsia" w:cs="宋体" w:asciiTheme="minorEastAsia" w:hAnsiTheme="minorEastAsia" w:eastAsiaTheme="minorEastAsia"/>
          <w:color w:val="000000" w:themeColor="text1"/>
          <w:sz w:val="24"/>
          <w:lang w:eastAsia="zh-CN"/>
        </w:rPr>
        <w:t>政务服务网</w:t>
      </w:r>
      <w:r>
        <w:rPr>
          <w:rFonts w:hint="eastAsia" w:cs="宋体" w:asciiTheme="minorEastAsia" w:hAnsiTheme="minorEastAsia" w:eastAsiaTheme="minorEastAsia"/>
          <w:color w:val="000000" w:themeColor="text1"/>
          <w:sz w:val="24"/>
        </w:rPr>
        <w:t>向登记管理机关提出有关登记请求。申请人应当如实填写有关申请材料，并对提交的申请材料的真实性负责。</w:t>
      </w:r>
    </w:p>
    <w:p>
      <w:pPr>
        <w:pStyle w:val="3"/>
        <w:spacing w:after="0" w:line="320" w:lineRule="exact"/>
        <w:ind w:left="0" w:leftChars="0"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2.受理：举办单位和行政审批服务局查验申请登记材料是否齐全有效、格式规范。从法人条件、政治、政策、保密、文字和管辖范围等方面进行初审,符合法定条件的予以受理；不符合法定条件的予以退回并说明理由。。</w:t>
      </w:r>
    </w:p>
    <w:p>
      <w:pPr>
        <w:pStyle w:val="3"/>
        <w:spacing w:after="0" w:line="320" w:lineRule="exact"/>
        <w:ind w:left="0" w:leftChars="0"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3.审查：对受理的设立登记申请进行审查或派员核查；分别作出提请核准或予以驳回的处置。</w:t>
      </w:r>
      <w:r>
        <w:rPr>
          <w:rFonts w:hint="eastAsia" w:cs="宋体" w:asciiTheme="minorEastAsia" w:hAnsiTheme="minorEastAsia" w:eastAsiaTheme="minorEastAsia"/>
          <w:color w:val="000000" w:themeColor="text1"/>
          <w:sz w:val="24"/>
        </w:rPr>
        <w:br w:type="textWrapping"/>
      </w:r>
      <w:r>
        <w:rPr>
          <w:rFonts w:hint="eastAsia" w:cs="宋体" w:asciiTheme="minorEastAsia" w:hAnsiTheme="minorEastAsia" w:eastAsiaTheme="minorEastAsia"/>
          <w:color w:val="000000" w:themeColor="text1"/>
          <w:sz w:val="24"/>
        </w:rPr>
        <w:t xml:space="preserve">  4.核准：对经审查的设立登记申请进行终审；分别作出准予登记或不予登记的决定。</w:t>
      </w:r>
      <w:r>
        <w:rPr>
          <w:rFonts w:hint="eastAsia" w:cs="宋体" w:asciiTheme="minorEastAsia" w:hAnsiTheme="minorEastAsia" w:eastAsiaTheme="minorEastAsia"/>
          <w:color w:val="000000" w:themeColor="text1"/>
          <w:sz w:val="24"/>
        </w:rPr>
        <w:br w:type="textWrapping"/>
      </w:r>
      <w:r>
        <w:rPr>
          <w:rFonts w:hint="eastAsia" w:cs="宋体" w:asciiTheme="minorEastAsia" w:hAnsiTheme="minorEastAsia" w:eastAsiaTheme="minorEastAsia"/>
          <w:color w:val="000000" w:themeColor="text1"/>
          <w:sz w:val="24"/>
          <w:lang w:val="en-US" w:eastAsia="zh-CN"/>
        </w:rPr>
        <w:t xml:space="preserve">  </w:t>
      </w:r>
      <w:r>
        <w:rPr>
          <w:rFonts w:hint="eastAsia" w:cs="宋体" w:asciiTheme="minorEastAsia" w:hAnsiTheme="minorEastAsia" w:eastAsiaTheme="minorEastAsia"/>
          <w:color w:val="000000" w:themeColor="text1"/>
          <w:sz w:val="24"/>
        </w:rPr>
        <w:t>5.发（缴）证章：登记管理机关向核准登记的事业单位发（缴）证章。</w:t>
      </w:r>
    </w:p>
    <w:p>
      <w:pPr>
        <w:pStyle w:val="3"/>
        <w:spacing w:after="0" w:line="320" w:lineRule="exact"/>
        <w:ind w:left="0" w:leftChars="0"/>
        <w:rPr>
          <w:rFonts w:cs="宋体" w:asciiTheme="minorEastAsia" w:hAnsiTheme="minorEastAsia" w:eastAsiaTheme="minorEastAsia"/>
          <w:color w:val="000000" w:themeColor="text1"/>
          <w:sz w:val="24"/>
        </w:rPr>
      </w:pPr>
      <w:r>
        <w:rPr>
          <w:rFonts w:hint="eastAsia" w:ascii="黑体" w:hAnsi="黑体" w:eastAsia="黑体" w:cs="宋体"/>
          <w:color w:val="000000" w:themeColor="text1"/>
          <w:sz w:val="24"/>
        </w:rPr>
        <w:t>（十）办理方式：</w:t>
      </w:r>
      <w:r>
        <w:rPr>
          <w:rFonts w:hint="eastAsia" w:cs="宋体" w:asciiTheme="minorEastAsia" w:hAnsiTheme="minorEastAsia" w:eastAsiaTheme="minorEastAsia"/>
          <w:color w:val="000000" w:themeColor="text1"/>
          <w:sz w:val="24"/>
        </w:rPr>
        <w:t>枣庄市</w:t>
      </w:r>
      <w:r>
        <w:rPr>
          <w:rFonts w:hint="eastAsia" w:cs="宋体" w:asciiTheme="minorEastAsia" w:hAnsiTheme="minorEastAsia" w:eastAsiaTheme="minorEastAsia"/>
          <w:color w:val="000000" w:themeColor="text1"/>
          <w:sz w:val="24"/>
          <w:lang w:eastAsia="zh-CN"/>
        </w:rPr>
        <w:t>台儿庄区市</w:t>
      </w:r>
      <w:r>
        <w:rPr>
          <w:rFonts w:hint="eastAsia" w:cs="宋体" w:asciiTheme="minorEastAsia" w:hAnsiTheme="minorEastAsia" w:eastAsiaTheme="minorEastAsia"/>
          <w:color w:val="000000" w:themeColor="text1"/>
          <w:sz w:val="24"/>
        </w:rPr>
        <w:t>民中心或山东政务服务网办理</w:t>
      </w:r>
    </w:p>
    <w:p>
      <w:pPr>
        <w:pStyle w:val="3"/>
        <w:spacing w:after="0" w:line="320" w:lineRule="exact"/>
        <w:ind w:left="0" w:leftChars="0"/>
        <w:rPr>
          <w:rFonts w:hint="eastAsia" w:cs="宋体" w:asciiTheme="minorEastAsia" w:hAnsiTheme="minorEastAsia" w:eastAsiaTheme="minorEastAsia"/>
          <w:color w:val="000000" w:themeColor="text1"/>
          <w:sz w:val="24"/>
        </w:rPr>
      </w:pPr>
      <w:r>
        <w:rPr>
          <w:rFonts w:hint="eastAsia" w:ascii="黑体" w:hAnsi="黑体" w:eastAsia="黑体" w:cs="宋体"/>
          <w:color w:val="000000" w:themeColor="text1"/>
          <w:sz w:val="24"/>
        </w:rPr>
        <w:t>（十一）受理窗口：</w:t>
      </w:r>
      <w:r>
        <w:rPr>
          <w:rFonts w:hint="eastAsia" w:cs="宋体" w:asciiTheme="minorEastAsia" w:hAnsiTheme="minorEastAsia" w:eastAsiaTheme="minorEastAsia"/>
          <w:color w:val="000000" w:themeColor="text1"/>
          <w:sz w:val="24"/>
        </w:rPr>
        <w:t>枣庄市台儿庄区市民中心</w:t>
      </w:r>
      <w:r>
        <w:rPr>
          <w:rFonts w:hint="eastAsia" w:cs="宋体" w:asciiTheme="minorEastAsia" w:hAnsiTheme="minorEastAsia" w:eastAsiaTheme="minorEastAsia"/>
          <w:color w:val="000000" w:themeColor="text1"/>
          <w:sz w:val="24"/>
          <w:lang w:eastAsia="zh-CN"/>
        </w:rPr>
        <w:t>综合</w:t>
      </w:r>
      <w:r>
        <w:rPr>
          <w:rFonts w:hint="eastAsia" w:cs="宋体" w:asciiTheme="minorEastAsia" w:hAnsiTheme="minorEastAsia" w:eastAsiaTheme="minorEastAsia"/>
          <w:color w:val="000000" w:themeColor="text1"/>
          <w:sz w:val="24"/>
        </w:rPr>
        <w:t>窗口D10</w:t>
      </w:r>
      <w:r>
        <w:rPr>
          <w:rFonts w:hint="eastAsia" w:cs="宋体" w:asciiTheme="minorEastAsia" w:hAnsiTheme="minorEastAsia" w:eastAsiaTheme="minorEastAsia"/>
          <w:color w:val="000000" w:themeColor="text1"/>
          <w:sz w:val="24"/>
          <w:lang w:val="en-US" w:eastAsia="zh-CN"/>
        </w:rPr>
        <w:t>6</w:t>
      </w:r>
    </w:p>
    <w:p>
      <w:pPr>
        <w:pStyle w:val="3"/>
        <w:spacing w:after="0" w:line="320" w:lineRule="exact"/>
        <w:ind w:left="0" w:leftChars="0"/>
        <w:rPr>
          <w:rFonts w:ascii="黑体" w:hAnsi="黑体" w:eastAsia="黑体" w:cs="宋体"/>
          <w:color w:val="000000" w:themeColor="text1"/>
          <w:sz w:val="24"/>
        </w:rPr>
      </w:pPr>
      <w:r>
        <w:rPr>
          <w:rFonts w:hint="eastAsia" w:ascii="黑体" w:hAnsi="黑体" w:eastAsia="黑体" w:cs="宋体"/>
          <w:color w:val="000000" w:themeColor="text1"/>
          <w:sz w:val="24"/>
        </w:rPr>
        <w:t>（十二）受理窗口工作时间：</w:t>
      </w:r>
    </w:p>
    <w:p>
      <w:pPr>
        <w:pStyle w:val="3"/>
        <w:spacing w:after="0" w:line="320" w:lineRule="exact"/>
        <w:ind w:left="0" w:leftChars="0" w:firstLine="240" w:firstLineChars="100"/>
        <w:rPr>
          <w:rFonts w:hint="eastAsia"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工作日 上午8:30-12:00，下午 13:30-17:00  </w:t>
      </w:r>
    </w:p>
    <w:p>
      <w:pPr>
        <w:pStyle w:val="3"/>
        <w:spacing w:after="0" w:line="320" w:lineRule="exact"/>
        <w:ind w:left="0" w:leftChars="0"/>
        <w:rPr>
          <w:rFonts w:cs="宋体" w:asciiTheme="minorEastAsia" w:hAnsiTheme="minorEastAsia" w:eastAsiaTheme="minorEastAsia"/>
          <w:color w:val="000000" w:themeColor="text1"/>
          <w:sz w:val="24"/>
        </w:rPr>
      </w:pPr>
      <w:r>
        <w:rPr>
          <w:rFonts w:hint="eastAsia" w:ascii="黑体" w:hAnsi="黑体" w:eastAsia="黑体" w:cs="宋体"/>
          <w:color w:val="000000" w:themeColor="text1"/>
          <w:sz w:val="24"/>
        </w:rPr>
        <w:t>（十三）办件类型：</w:t>
      </w:r>
      <w:r>
        <w:rPr>
          <w:rFonts w:hint="eastAsia" w:cs="宋体" w:asciiTheme="minorEastAsia" w:hAnsiTheme="minorEastAsia" w:eastAsiaTheme="minorEastAsia"/>
          <w:color w:val="000000" w:themeColor="text1"/>
          <w:sz w:val="24"/>
        </w:rPr>
        <w:t>承诺件</w:t>
      </w:r>
    </w:p>
    <w:p>
      <w:pPr>
        <w:pStyle w:val="3"/>
        <w:spacing w:after="0" w:line="320" w:lineRule="exact"/>
        <w:ind w:left="0" w:leftChars="0"/>
        <w:rPr>
          <w:rFonts w:cs="宋体" w:asciiTheme="minorEastAsia" w:hAnsiTheme="minorEastAsia" w:eastAsiaTheme="minorEastAsia"/>
          <w:color w:val="000000" w:themeColor="text1"/>
          <w:sz w:val="24"/>
        </w:rPr>
      </w:pPr>
      <w:r>
        <w:rPr>
          <w:rFonts w:hint="eastAsia" w:ascii="黑体" w:hAnsi="黑体" w:eastAsia="黑体" w:cs="宋体"/>
          <w:color w:val="000000" w:themeColor="text1"/>
          <w:sz w:val="24"/>
        </w:rPr>
        <w:t>（十四）法定期限：</w:t>
      </w:r>
      <w:r>
        <w:rPr>
          <w:rFonts w:hint="eastAsia" w:cs="宋体" w:asciiTheme="minorEastAsia" w:hAnsiTheme="minorEastAsia" w:eastAsiaTheme="minorEastAsia"/>
          <w:color w:val="000000" w:themeColor="text1"/>
          <w:sz w:val="24"/>
        </w:rPr>
        <w:t>10个工作日</w:t>
      </w:r>
    </w:p>
    <w:p>
      <w:pPr>
        <w:pStyle w:val="3"/>
        <w:spacing w:after="0" w:line="320" w:lineRule="exact"/>
        <w:ind w:left="0" w:leftChars="0"/>
        <w:rPr>
          <w:rFonts w:cs="宋体" w:asciiTheme="minorEastAsia" w:hAnsiTheme="minorEastAsia" w:eastAsiaTheme="minorEastAsia"/>
          <w:color w:val="000000" w:themeColor="text1"/>
          <w:sz w:val="24"/>
        </w:rPr>
      </w:pPr>
      <w:r>
        <w:rPr>
          <w:rFonts w:hint="eastAsia" w:ascii="黑体" w:hAnsi="黑体" w:eastAsia="黑体" w:cs="宋体"/>
          <w:color w:val="000000" w:themeColor="text1"/>
          <w:sz w:val="24"/>
        </w:rPr>
        <w:t>（十五）承诺期限：</w:t>
      </w:r>
      <w:r>
        <w:rPr>
          <w:rFonts w:hint="eastAsia" w:cs="宋体" w:asciiTheme="minorEastAsia" w:hAnsiTheme="minorEastAsia" w:eastAsiaTheme="minorEastAsia"/>
          <w:color w:val="000000" w:themeColor="text1"/>
          <w:sz w:val="24"/>
        </w:rPr>
        <w:t>1个工作日</w:t>
      </w:r>
    </w:p>
    <w:p>
      <w:pPr>
        <w:pStyle w:val="3"/>
        <w:spacing w:after="0" w:line="320" w:lineRule="exact"/>
        <w:ind w:left="0" w:leftChars="0"/>
        <w:rPr>
          <w:rFonts w:cs="宋体" w:asciiTheme="minorEastAsia" w:hAnsiTheme="minorEastAsia" w:eastAsiaTheme="minorEastAsia"/>
          <w:color w:val="000000" w:themeColor="text1"/>
          <w:sz w:val="24"/>
        </w:rPr>
      </w:pPr>
      <w:r>
        <w:rPr>
          <w:rFonts w:hint="eastAsia" w:ascii="黑体" w:hAnsi="黑体" w:eastAsia="黑体" w:cs="宋体"/>
          <w:color w:val="000000" w:themeColor="text1"/>
          <w:sz w:val="24"/>
        </w:rPr>
        <w:t>（十六）是否收费：</w:t>
      </w:r>
      <w:r>
        <w:rPr>
          <w:rFonts w:hint="eastAsia" w:cs="宋体" w:asciiTheme="minorEastAsia" w:hAnsiTheme="minorEastAsia" w:eastAsiaTheme="minorEastAsia"/>
          <w:color w:val="000000" w:themeColor="text1"/>
          <w:sz w:val="24"/>
        </w:rPr>
        <w:t>不收费</w:t>
      </w:r>
    </w:p>
    <w:p>
      <w:pPr>
        <w:pStyle w:val="3"/>
        <w:spacing w:after="0" w:line="320" w:lineRule="exact"/>
        <w:ind w:left="0" w:leftChars="0"/>
        <w:rPr>
          <w:rFonts w:cs="宋体" w:asciiTheme="minorEastAsia" w:hAnsiTheme="minorEastAsia" w:eastAsiaTheme="minorEastAsia"/>
          <w:color w:val="000000" w:themeColor="text1"/>
          <w:sz w:val="24"/>
        </w:rPr>
      </w:pPr>
      <w:r>
        <w:rPr>
          <w:rFonts w:hint="eastAsia" w:ascii="黑体" w:hAnsi="黑体" w:eastAsia="黑体" w:cs="宋体"/>
          <w:color w:val="000000" w:themeColor="text1"/>
          <w:sz w:val="24"/>
        </w:rPr>
        <w:t>（十七）收费依据及标准：</w:t>
      </w:r>
      <w:r>
        <w:rPr>
          <w:rFonts w:hint="eastAsia" w:cs="宋体" w:asciiTheme="minorEastAsia" w:hAnsiTheme="minorEastAsia" w:eastAsiaTheme="minorEastAsia"/>
          <w:color w:val="000000" w:themeColor="text1"/>
          <w:sz w:val="24"/>
        </w:rPr>
        <w:t>无</w:t>
      </w:r>
    </w:p>
    <w:p>
      <w:pPr>
        <w:pStyle w:val="3"/>
        <w:spacing w:after="0" w:line="320" w:lineRule="exact"/>
        <w:ind w:left="0" w:leftChars="0"/>
        <w:rPr>
          <w:rFonts w:hint="eastAsia" w:cs="宋体" w:asciiTheme="minorEastAsia" w:hAnsiTheme="minorEastAsia" w:eastAsiaTheme="minorEastAsia"/>
          <w:color w:val="000000" w:themeColor="text1"/>
          <w:sz w:val="24"/>
          <w:lang w:val="en-US" w:eastAsia="zh-CN"/>
        </w:rPr>
      </w:pPr>
      <w:r>
        <w:rPr>
          <w:rFonts w:hint="eastAsia" w:ascii="黑体" w:hAnsi="黑体" w:eastAsia="黑体" w:cs="宋体"/>
          <w:color w:val="000000" w:themeColor="text1"/>
          <w:sz w:val="24"/>
        </w:rPr>
        <w:t>（十八）受理部门联系电话：</w:t>
      </w:r>
      <w:r>
        <w:rPr>
          <w:rFonts w:hint="eastAsia" w:cs="宋体" w:asciiTheme="minorEastAsia" w:hAnsiTheme="minorEastAsia" w:eastAsiaTheme="minorEastAsia"/>
          <w:color w:val="000000" w:themeColor="text1"/>
          <w:sz w:val="24"/>
        </w:rPr>
        <w:t>0632-</w:t>
      </w:r>
      <w:r>
        <w:rPr>
          <w:rFonts w:hint="eastAsia" w:cs="宋体" w:asciiTheme="minorEastAsia" w:hAnsiTheme="minorEastAsia" w:eastAsiaTheme="minorEastAsia"/>
          <w:color w:val="000000" w:themeColor="text1"/>
          <w:sz w:val="24"/>
          <w:lang w:val="en-US" w:eastAsia="zh-CN"/>
        </w:rPr>
        <w:t>6657578</w:t>
      </w:r>
    </w:p>
    <w:p>
      <w:pPr>
        <w:pStyle w:val="3"/>
        <w:spacing w:after="0" w:line="320" w:lineRule="exact"/>
        <w:ind w:left="0" w:leftChars="0"/>
        <w:rPr>
          <w:rFonts w:ascii="黑体" w:hAnsi="黑体" w:eastAsia="黑体" w:cs="宋体"/>
          <w:color w:val="000000" w:themeColor="text1"/>
          <w:sz w:val="24"/>
        </w:rPr>
      </w:pPr>
      <w:r>
        <w:rPr>
          <w:rFonts w:hint="eastAsia" w:ascii="黑体" w:hAnsi="黑体" w:eastAsia="黑体" w:cs="宋体"/>
          <w:color w:val="000000" w:themeColor="text1"/>
          <w:sz w:val="24"/>
        </w:rPr>
        <w:t>（十九）办理进程和结果查询：</w:t>
      </w:r>
    </w:p>
    <w:p>
      <w:pPr>
        <w:pStyle w:val="3"/>
        <w:spacing w:after="0" w:line="320" w:lineRule="exact"/>
        <w:ind w:left="0" w:leftChars="0" w:firstLine="360" w:firstLineChars="150"/>
        <w:rPr>
          <w:rFonts w:cs="宋体" w:asciiTheme="minorEastAsia" w:hAnsiTheme="minorEastAsia" w:eastAsiaTheme="minorEastAsia"/>
          <w:color w:val="000000" w:themeColor="text1"/>
          <w:spacing w:val="-6"/>
          <w:sz w:val="24"/>
        </w:rPr>
      </w:pPr>
      <w:r>
        <w:rPr>
          <w:rFonts w:hint="eastAsia" w:cs="宋体" w:asciiTheme="minorEastAsia" w:hAnsiTheme="minorEastAsia" w:eastAsiaTheme="minorEastAsia"/>
          <w:color w:val="000000" w:themeColor="text1"/>
          <w:sz w:val="24"/>
        </w:rPr>
        <w:t>山东政务服务网</w:t>
      </w:r>
      <w:r>
        <w:rPr>
          <w:rFonts w:hint="eastAsia" w:cs="宋体" w:asciiTheme="minorEastAsia" w:hAnsiTheme="minorEastAsia" w:eastAsiaTheme="minorEastAsia"/>
          <w:color w:val="000000" w:themeColor="text1"/>
          <w:spacing w:val="-6"/>
          <w:sz w:val="24"/>
        </w:rPr>
        <w:t>http://zztezzwfw.sd.gov.cn/tez/icity/project/index</w:t>
      </w:r>
    </w:p>
    <w:p>
      <w:pPr>
        <w:pStyle w:val="3"/>
        <w:spacing w:after="0" w:line="320" w:lineRule="exact"/>
        <w:ind w:left="0" w:leftChars="0"/>
        <w:rPr>
          <w:rFonts w:ascii="黑体" w:hAnsi="黑体" w:eastAsia="黑体" w:cs="宋体"/>
          <w:color w:val="000000" w:themeColor="text1"/>
          <w:sz w:val="24"/>
        </w:rPr>
      </w:pPr>
      <w:r>
        <w:rPr>
          <w:rFonts w:hint="eastAsia" w:ascii="黑体" w:hAnsi="黑体" w:eastAsia="黑体" w:cs="宋体"/>
          <w:color w:val="000000" w:themeColor="text1"/>
          <w:sz w:val="24"/>
        </w:rPr>
        <w:t>（二十）监督部门联系电话：</w:t>
      </w:r>
    </w:p>
    <w:p>
      <w:pPr>
        <w:pStyle w:val="3"/>
        <w:spacing w:after="0" w:line="320" w:lineRule="exact"/>
        <w:ind w:left="0" w:leftChars="0"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枣庄市</w:t>
      </w:r>
      <w:r>
        <w:rPr>
          <w:rFonts w:hint="eastAsia" w:cs="宋体" w:asciiTheme="minorEastAsia" w:hAnsiTheme="minorEastAsia" w:eastAsiaTheme="minorEastAsia"/>
          <w:color w:val="000000" w:themeColor="text1"/>
          <w:sz w:val="24"/>
          <w:lang w:eastAsia="zh-CN"/>
        </w:rPr>
        <w:t>台儿庄区</w:t>
      </w:r>
      <w:r>
        <w:rPr>
          <w:rFonts w:hint="eastAsia" w:cs="宋体" w:asciiTheme="minorEastAsia" w:hAnsiTheme="minorEastAsia" w:eastAsiaTheme="minorEastAsia"/>
          <w:color w:val="000000" w:themeColor="text1"/>
          <w:sz w:val="24"/>
        </w:rPr>
        <w:t>行政审批服务局0632-6616816</w:t>
      </w:r>
    </w:p>
    <w:p>
      <w:pPr>
        <w:pStyle w:val="3"/>
        <w:spacing w:after="0" w:line="320" w:lineRule="exact"/>
        <w:ind w:left="0" w:leftChars="0"/>
        <w:rPr>
          <w:rFonts w:cs="宋体" w:asciiTheme="minorEastAsia" w:hAnsiTheme="minorEastAsia" w:eastAsiaTheme="minorEastAsia"/>
          <w:color w:val="000000" w:themeColor="text1"/>
          <w:sz w:val="24"/>
        </w:rPr>
      </w:pPr>
      <w:r>
        <w:rPr>
          <w:rFonts w:hint="eastAsia" w:ascii="黑体" w:hAnsi="黑体" w:eastAsia="黑体" w:cs="宋体"/>
          <w:color w:val="000000" w:themeColor="text1"/>
          <w:sz w:val="24"/>
        </w:rPr>
        <w:t>（二十一）空表、样表下载网址</w:t>
      </w:r>
      <w:r>
        <w:rPr>
          <w:rFonts w:hint="eastAsia" w:cs="宋体" w:asciiTheme="minorEastAsia" w:hAnsiTheme="minorEastAsia" w:eastAsiaTheme="minorEastAsia"/>
          <w:color w:val="000000" w:themeColor="text1"/>
          <w:sz w:val="24"/>
        </w:rPr>
        <w:t>：</w:t>
      </w:r>
    </w:p>
    <w:p>
      <w:pPr>
        <w:pStyle w:val="3"/>
        <w:spacing w:after="0" w:line="320" w:lineRule="exact"/>
        <w:ind w:left="0" w:leftChars="0" w:firstLine="240" w:firstLineChars="1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山东政务服务网</w:t>
      </w:r>
    </w:p>
    <w:p>
      <w:pPr>
        <w:ind w:firstLine="480" w:firstLineChars="200"/>
        <w:jc w:val="left"/>
        <w:rPr>
          <w:rFonts w:ascii="黑体" w:hAnsi="黑体" w:eastAsia="黑体" w:cs="黑体"/>
          <w:color w:val="000000"/>
          <w:kern w:val="0"/>
          <w:sz w:val="32"/>
          <w:szCs w:val="32"/>
        </w:rPr>
      </w:pPr>
      <w:r>
        <w:rPr>
          <w:rFonts w:hint="eastAsia" w:cs="仿宋" w:asciiTheme="minorEastAsia" w:hAnsiTheme="minorEastAsia" w:eastAsiaTheme="minorEastAsia"/>
          <w:color w:val="000000" w:themeColor="text1"/>
          <w:sz w:val="24"/>
        </w:rPr>
        <w:t>http://zztezzwfw.sd.gov.cn/tez/icity/proinfo/index?id=99c0bd49d6-eb34-427c-a17d-2614b8317c30</w:t>
      </w:r>
      <w:bookmarkStart w:id="0" w:name="_GoBack"/>
      <w:bookmarkEnd w:id="0"/>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E59CF"/>
    <w:rsid w:val="000377C3"/>
    <w:rsid w:val="0008408F"/>
    <w:rsid w:val="000B074F"/>
    <w:rsid w:val="000C36FA"/>
    <w:rsid w:val="000D1784"/>
    <w:rsid w:val="0012630E"/>
    <w:rsid w:val="001531E1"/>
    <w:rsid w:val="0015611B"/>
    <w:rsid w:val="00213C34"/>
    <w:rsid w:val="002D4B1C"/>
    <w:rsid w:val="003006A7"/>
    <w:rsid w:val="00310313"/>
    <w:rsid w:val="00312173"/>
    <w:rsid w:val="00313A18"/>
    <w:rsid w:val="00323751"/>
    <w:rsid w:val="003730C7"/>
    <w:rsid w:val="003C6164"/>
    <w:rsid w:val="003E6722"/>
    <w:rsid w:val="00445038"/>
    <w:rsid w:val="00452F59"/>
    <w:rsid w:val="00474C38"/>
    <w:rsid w:val="00515A67"/>
    <w:rsid w:val="0052746C"/>
    <w:rsid w:val="00545B35"/>
    <w:rsid w:val="005547FA"/>
    <w:rsid w:val="0057154C"/>
    <w:rsid w:val="005823E4"/>
    <w:rsid w:val="0058352B"/>
    <w:rsid w:val="005C0292"/>
    <w:rsid w:val="005C1ABC"/>
    <w:rsid w:val="005E0B74"/>
    <w:rsid w:val="0063055D"/>
    <w:rsid w:val="00697B9E"/>
    <w:rsid w:val="006A4A40"/>
    <w:rsid w:val="006F00A4"/>
    <w:rsid w:val="006F3975"/>
    <w:rsid w:val="00711919"/>
    <w:rsid w:val="00715417"/>
    <w:rsid w:val="00725622"/>
    <w:rsid w:val="00741F4E"/>
    <w:rsid w:val="00743F88"/>
    <w:rsid w:val="0078463F"/>
    <w:rsid w:val="0079350E"/>
    <w:rsid w:val="00862F11"/>
    <w:rsid w:val="008F6E9B"/>
    <w:rsid w:val="00916700"/>
    <w:rsid w:val="00952591"/>
    <w:rsid w:val="0099350A"/>
    <w:rsid w:val="00993D5F"/>
    <w:rsid w:val="00A2523E"/>
    <w:rsid w:val="00A300BD"/>
    <w:rsid w:val="00A60DEE"/>
    <w:rsid w:val="00AA1E82"/>
    <w:rsid w:val="00AA59B4"/>
    <w:rsid w:val="00B14D7A"/>
    <w:rsid w:val="00B31965"/>
    <w:rsid w:val="00B67FC0"/>
    <w:rsid w:val="00BD468C"/>
    <w:rsid w:val="00BE6EC9"/>
    <w:rsid w:val="00CE4966"/>
    <w:rsid w:val="00CE56DA"/>
    <w:rsid w:val="00DB508F"/>
    <w:rsid w:val="00DD0CC3"/>
    <w:rsid w:val="00DE2C9C"/>
    <w:rsid w:val="00DE59CF"/>
    <w:rsid w:val="00E25CD7"/>
    <w:rsid w:val="00E34B9B"/>
    <w:rsid w:val="00E54D87"/>
    <w:rsid w:val="00F07092"/>
    <w:rsid w:val="00F07334"/>
    <w:rsid w:val="00F27C04"/>
    <w:rsid w:val="00F95719"/>
    <w:rsid w:val="01617E08"/>
    <w:rsid w:val="042078DE"/>
    <w:rsid w:val="04741406"/>
    <w:rsid w:val="05A132FF"/>
    <w:rsid w:val="06275F30"/>
    <w:rsid w:val="063F6B99"/>
    <w:rsid w:val="06A65D24"/>
    <w:rsid w:val="06AE7424"/>
    <w:rsid w:val="07050B4D"/>
    <w:rsid w:val="09394502"/>
    <w:rsid w:val="09AD7AF5"/>
    <w:rsid w:val="0A5C035C"/>
    <w:rsid w:val="0BAE2E17"/>
    <w:rsid w:val="0C3D196C"/>
    <w:rsid w:val="0CA3635F"/>
    <w:rsid w:val="0EEE5618"/>
    <w:rsid w:val="0FBC469D"/>
    <w:rsid w:val="0FD6150C"/>
    <w:rsid w:val="0FE658FC"/>
    <w:rsid w:val="1069552F"/>
    <w:rsid w:val="11383076"/>
    <w:rsid w:val="114A5022"/>
    <w:rsid w:val="114D168B"/>
    <w:rsid w:val="12ED402F"/>
    <w:rsid w:val="14BC077E"/>
    <w:rsid w:val="150B23A7"/>
    <w:rsid w:val="152D0361"/>
    <w:rsid w:val="15417A23"/>
    <w:rsid w:val="17A859B2"/>
    <w:rsid w:val="194E6EF3"/>
    <w:rsid w:val="1A9F43FD"/>
    <w:rsid w:val="1AFB0578"/>
    <w:rsid w:val="1B03072F"/>
    <w:rsid w:val="1C1959F0"/>
    <w:rsid w:val="1D9B21BE"/>
    <w:rsid w:val="1DF22B6F"/>
    <w:rsid w:val="1EB43AC9"/>
    <w:rsid w:val="1F666379"/>
    <w:rsid w:val="1FD0568B"/>
    <w:rsid w:val="20346D69"/>
    <w:rsid w:val="20811D27"/>
    <w:rsid w:val="21322A6D"/>
    <w:rsid w:val="213F0200"/>
    <w:rsid w:val="21595B7E"/>
    <w:rsid w:val="2AA74D34"/>
    <w:rsid w:val="2B137D5E"/>
    <w:rsid w:val="2C057289"/>
    <w:rsid w:val="2D436DF8"/>
    <w:rsid w:val="2DB7652D"/>
    <w:rsid w:val="2DE71B1A"/>
    <w:rsid w:val="2E8C0E67"/>
    <w:rsid w:val="2FF1500E"/>
    <w:rsid w:val="310A1F92"/>
    <w:rsid w:val="327203AA"/>
    <w:rsid w:val="337F374C"/>
    <w:rsid w:val="36B371B9"/>
    <w:rsid w:val="38796374"/>
    <w:rsid w:val="3915394B"/>
    <w:rsid w:val="391A2B83"/>
    <w:rsid w:val="392F1996"/>
    <w:rsid w:val="39D3374A"/>
    <w:rsid w:val="3A322441"/>
    <w:rsid w:val="3CB903BC"/>
    <w:rsid w:val="3D506890"/>
    <w:rsid w:val="3EF8419C"/>
    <w:rsid w:val="3F9B51F0"/>
    <w:rsid w:val="40E01A6A"/>
    <w:rsid w:val="415C449B"/>
    <w:rsid w:val="419F345B"/>
    <w:rsid w:val="41C257EB"/>
    <w:rsid w:val="41DC78E5"/>
    <w:rsid w:val="41F0410D"/>
    <w:rsid w:val="42783D64"/>
    <w:rsid w:val="429469B3"/>
    <w:rsid w:val="43BB7DB4"/>
    <w:rsid w:val="43C86D0F"/>
    <w:rsid w:val="43E50579"/>
    <w:rsid w:val="44BF5908"/>
    <w:rsid w:val="452D1723"/>
    <w:rsid w:val="45805682"/>
    <w:rsid w:val="45B12A8E"/>
    <w:rsid w:val="46B56A95"/>
    <w:rsid w:val="4722087F"/>
    <w:rsid w:val="475145CD"/>
    <w:rsid w:val="4A8E242D"/>
    <w:rsid w:val="4BC87383"/>
    <w:rsid w:val="4DA8225D"/>
    <w:rsid w:val="5101410A"/>
    <w:rsid w:val="522C3FE2"/>
    <w:rsid w:val="52FB5EB5"/>
    <w:rsid w:val="540E4D8E"/>
    <w:rsid w:val="5621217F"/>
    <w:rsid w:val="566B2476"/>
    <w:rsid w:val="56A80759"/>
    <w:rsid w:val="56D76B9C"/>
    <w:rsid w:val="57062D12"/>
    <w:rsid w:val="573B7683"/>
    <w:rsid w:val="579C587F"/>
    <w:rsid w:val="5918168D"/>
    <w:rsid w:val="598747E0"/>
    <w:rsid w:val="59D73E57"/>
    <w:rsid w:val="5A1E3051"/>
    <w:rsid w:val="5A3A39C1"/>
    <w:rsid w:val="5A48012E"/>
    <w:rsid w:val="5B576628"/>
    <w:rsid w:val="5B9014EB"/>
    <w:rsid w:val="5BAD580B"/>
    <w:rsid w:val="5C1F2408"/>
    <w:rsid w:val="5C262656"/>
    <w:rsid w:val="5D881CD2"/>
    <w:rsid w:val="5DD51FD7"/>
    <w:rsid w:val="5E3D1F6B"/>
    <w:rsid w:val="5E6F2495"/>
    <w:rsid w:val="5FF30503"/>
    <w:rsid w:val="600D7004"/>
    <w:rsid w:val="60AB24E8"/>
    <w:rsid w:val="6192548D"/>
    <w:rsid w:val="61C607EA"/>
    <w:rsid w:val="626E2B14"/>
    <w:rsid w:val="63291AD0"/>
    <w:rsid w:val="63BC237D"/>
    <w:rsid w:val="66857B8E"/>
    <w:rsid w:val="67224CEE"/>
    <w:rsid w:val="67FE4D64"/>
    <w:rsid w:val="68B0280E"/>
    <w:rsid w:val="69483F5C"/>
    <w:rsid w:val="69AD296C"/>
    <w:rsid w:val="6C60561C"/>
    <w:rsid w:val="6C61134C"/>
    <w:rsid w:val="6C653C06"/>
    <w:rsid w:val="6CFE1276"/>
    <w:rsid w:val="6D160590"/>
    <w:rsid w:val="6D517A51"/>
    <w:rsid w:val="6FA13986"/>
    <w:rsid w:val="73736333"/>
    <w:rsid w:val="75361AB0"/>
    <w:rsid w:val="75FE151D"/>
    <w:rsid w:val="769D6F7A"/>
    <w:rsid w:val="791C2872"/>
    <w:rsid w:val="795E0300"/>
    <w:rsid w:val="7A2770EF"/>
    <w:rsid w:val="7A4D09D8"/>
    <w:rsid w:val="7A8F2A5F"/>
    <w:rsid w:val="7FC96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10"/>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link w:val="12"/>
    <w:qFormat/>
    <w:uiPriority w:val="0"/>
    <w:pPr>
      <w:spacing w:after="120" w:line="480" w:lineRule="auto"/>
      <w:ind w:left="420" w:leftChars="200"/>
    </w:pPr>
    <w:rPr>
      <w:rFonts w:ascii="Times New Roman" w:hAnsi="Times New Roman"/>
      <w:kern w:val="0"/>
      <w:sz w:val="20"/>
    </w:rPr>
  </w:style>
  <w:style w:type="paragraph" w:styleId="4">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标题 3 Char"/>
    <w:basedOn w:val="7"/>
    <w:link w:val="2"/>
    <w:qFormat/>
    <w:uiPriority w:val="0"/>
    <w:rPr>
      <w:rFonts w:ascii="宋体" w:hAnsi="宋体" w:eastAsia="宋体" w:cs="Times New Roman"/>
      <w:b/>
      <w:kern w:val="0"/>
      <w:sz w:val="27"/>
      <w:szCs w:val="27"/>
    </w:rPr>
  </w:style>
  <w:style w:type="paragraph" w:customStyle="1" w:styleId="11">
    <w:name w:val="_Style 1"/>
    <w:basedOn w:val="1"/>
    <w:qFormat/>
    <w:uiPriority w:val="0"/>
    <w:pPr>
      <w:widowControl/>
      <w:spacing w:after="160" w:line="240" w:lineRule="exact"/>
      <w:ind w:firstLine="980" w:firstLineChars="350"/>
      <w:jc w:val="left"/>
    </w:pPr>
    <w:rPr>
      <w:rFonts w:ascii="Times New Roman" w:hAnsi="Times New Roman"/>
      <w:szCs w:val="20"/>
    </w:rPr>
  </w:style>
  <w:style w:type="character" w:customStyle="1" w:styleId="12">
    <w:name w:val="正文文本缩进 2 Char"/>
    <w:basedOn w:val="7"/>
    <w:link w:val="3"/>
    <w:qFormat/>
    <w:uiPriority w:val="0"/>
    <w:rPr>
      <w:rFonts w:ascii="Times New Roman" w:hAnsi="Times New Roman" w:eastAsia="宋体" w:cs="Times New Roman"/>
      <w:kern w:val="0"/>
      <w:sz w:val="2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D7AECA-58C6-47C0-8E79-0EAB53671838}">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305</Words>
  <Characters>1745</Characters>
  <Lines>14</Lines>
  <Paragraphs>4</Paragraphs>
  <TotalTime>4</TotalTime>
  <ScaleCrop>false</ScaleCrop>
  <LinksUpToDate>false</LinksUpToDate>
  <CharactersWithSpaces>2046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2020-03-19T07:53:00Z</dcterms:created>
  <dc:creator>刘军</dc:creator>
  <cp:lastModifiedBy>lenovo</cp:lastModifiedBy>
  <dcterms:modified xsi:type="dcterms:W3CDTF">2021-05-17T11:46:09Z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B0A354B1A39942DBAECC76A93C172D6D</vt:lpwstr>
  </property>
</Properties>
</file>