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61" w:type="dxa"/>
        <w:jc w:val="center"/>
        <w:tblLayout w:type="fixed"/>
        <w:tblCellMar>
          <w:top w:w="0" w:type="dxa"/>
          <w:left w:w="108" w:type="dxa"/>
          <w:bottom w:w="0" w:type="dxa"/>
          <w:right w:w="108" w:type="dxa"/>
        </w:tblCellMar>
      </w:tblPr>
      <w:tblGrid>
        <w:gridCol w:w="675"/>
        <w:gridCol w:w="913"/>
        <w:gridCol w:w="1181"/>
        <w:gridCol w:w="3600"/>
        <w:gridCol w:w="2362"/>
        <w:gridCol w:w="1200"/>
        <w:gridCol w:w="863"/>
        <w:gridCol w:w="2212"/>
        <w:gridCol w:w="2382"/>
        <w:gridCol w:w="473"/>
      </w:tblGrid>
      <w:tr w14:paraId="53525355">
        <w:tblPrEx>
          <w:tblCellMar>
            <w:top w:w="0" w:type="dxa"/>
            <w:left w:w="108" w:type="dxa"/>
            <w:bottom w:w="0" w:type="dxa"/>
            <w:right w:w="108" w:type="dxa"/>
          </w:tblCellMar>
        </w:tblPrEx>
        <w:trPr>
          <w:trHeight w:val="752" w:hRule="atLeast"/>
          <w:jc w:val="center"/>
        </w:trPr>
        <w:tc>
          <w:tcPr>
            <w:tcW w:w="15861" w:type="dxa"/>
            <w:gridSpan w:val="10"/>
            <w:tcBorders>
              <w:top w:val="nil"/>
              <w:left w:val="nil"/>
              <w:bottom w:val="nil"/>
              <w:right w:val="nil"/>
            </w:tcBorders>
            <w:vAlign w:val="center"/>
          </w:tcPr>
          <w:p w14:paraId="6700997A">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color w:val="000000"/>
                <w:kern w:val="0"/>
                <w:sz w:val="44"/>
                <w:szCs w:val="44"/>
                <w:lang w:val="en-US" w:eastAsia="zh-CN"/>
              </w:rPr>
              <w:t>区</w:t>
            </w:r>
            <w:r>
              <w:rPr>
                <w:rFonts w:hint="eastAsia" w:ascii="方正小标宋简体" w:hAnsi="方正小标宋简体" w:eastAsia="方正小标宋简体" w:cs="方正小标宋简体"/>
                <w:color w:val="000000"/>
                <w:kern w:val="0"/>
                <w:sz w:val="44"/>
                <w:szCs w:val="44"/>
              </w:rPr>
              <w:t>人力资源和社会保障局职责边界事项清单</w:t>
            </w:r>
          </w:p>
        </w:tc>
      </w:tr>
      <w:tr w14:paraId="3ECB7B89">
        <w:tblPrEx>
          <w:tblCellMar>
            <w:top w:w="0" w:type="dxa"/>
            <w:left w:w="108" w:type="dxa"/>
            <w:bottom w:w="0" w:type="dxa"/>
            <w:right w:w="108" w:type="dxa"/>
          </w:tblCellMar>
        </w:tblPrEx>
        <w:trPr>
          <w:trHeight w:val="6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DF8EE4">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bookmarkStart w:id="0" w:name="_GoBack" w:colFirst="8" w:colLast="8"/>
            <w:r>
              <w:rPr>
                <w:rFonts w:hint="eastAsia" w:ascii="黑体" w:hAnsi="黑体" w:eastAsia="黑体" w:cs="黑体"/>
                <w:color w:val="000000"/>
                <w:kern w:val="0"/>
                <w:sz w:val="32"/>
                <w:szCs w:val="32"/>
              </w:rPr>
              <w:t>序号</w:t>
            </w:r>
          </w:p>
        </w:tc>
        <w:tc>
          <w:tcPr>
            <w:tcW w:w="913" w:type="dxa"/>
            <w:tcBorders>
              <w:top w:val="single" w:color="auto" w:sz="4" w:space="0"/>
              <w:left w:val="nil"/>
              <w:bottom w:val="single" w:color="auto" w:sz="4" w:space="0"/>
              <w:right w:val="single" w:color="auto" w:sz="4" w:space="0"/>
            </w:tcBorders>
            <w:vAlign w:val="center"/>
          </w:tcPr>
          <w:p w14:paraId="279E6180">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职责边界事项名称</w:t>
            </w:r>
          </w:p>
        </w:tc>
        <w:tc>
          <w:tcPr>
            <w:tcW w:w="1181" w:type="dxa"/>
            <w:tcBorders>
              <w:top w:val="single" w:color="auto" w:sz="4" w:space="0"/>
              <w:left w:val="nil"/>
              <w:bottom w:val="single" w:color="auto" w:sz="4" w:space="0"/>
              <w:right w:val="single" w:color="auto" w:sz="4" w:space="0"/>
            </w:tcBorders>
            <w:vAlign w:val="center"/>
          </w:tcPr>
          <w:p w14:paraId="1AF23AFF">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涉及分工部门</w:t>
            </w:r>
          </w:p>
        </w:tc>
        <w:tc>
          <w:tcPr>
            <w:tcW w:w="3600" w:type="dxa"/>
            <w:tcBorders>
              <w:top w:val="single" w:color="auto" w:sz="4" w:space="0"/>
              <w:left w:val="nil"/>
              <w:bottom w:val="single" w:color="auto" w:sz="4" w:space="0"/>
              <w:right w:val="single" w:color="auto" w:sz="4" w:space="0"/>
            </w:tcBorders>
            <w:vAlign w:val="center"/>
          </w:tcPr>
          <w:p w14:paraId="11C2B5D4">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职责分工（或分工建议）</w:t>
            </w:r>
          </w:p>
        </w:tc>
        <w:tc>
          <w:tcPr>
            <w:tcW w:w="2362" w:type="dxa"/>
            <w:tcBorders>
              <w:top w:val="single" w:color="auto" w:sz="4" w:space="0"/>
              <w:left w:val="nil"/>
              <w:bottom w:val="single" w:color="auto" w:sz="4" w:space="0"/>
              <w:right w:val="single" w:color="auto" w:sz="4" w:space="0"/>
            </w:tcBorders>
            <w:vAlign w:val="center"/>
          </w:tcPr>
          <w:p w14:paraId="7C3BFC2D">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具体内容、环节</w:t>
            </w:r>
          </w:p>
        </w:tc>
        <w:tc>
          <w:tcPr>
            <w:tcW w:w="1200" w:type="dxa"/>
            <w:tcBorders>
              <w:top w:val="single" w:color="auto" w:sz="4" w:space="0"/>
              <w:left w:val="nil"/>
              <w:bottom w:val="single" w:color="auto" w:sz="4" w:space="0"/>
              <w:right w:val="single" w:color="auto" w:sz="4" w:space="0"/>
            </w:tcBorders>
            <w:vAlign w:val="center"/>
          </w:tcPr>
          <w:p w14:paraId="10F1A97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承办</w:t>
            </w:r>
            <w:r>
              <w:rPr>
                <w:rFonts w:hint="eastAsia" w:ascii="黑体" w:hAnsi="黑体" w:eastAsia="黑体" w:cs="黑体"/>
                <w:color w:val="000000"/>
                <w:kern w:val="0"/>
                <w:sz w:val="32"/>
                <w:szCs w:val="32"/>
              </w:rPr>
              <w:br w:type="textWrapping"/>
            </w:r>
            <w:r>
              <w:rPr>
                <w:rFonts w:hint="eastAsia" w:ascii="黑体" w:hAnsi="黑体" w:eastAsia="黑体" w:cs="黑体"/>
                <w:color w:val="000000"/>
                <w:kern w:val="0"/>
                <w:sz w:val="32"/>
                <w:szCs w:val="32"/>
              </w:rPr>
              <w:t>机构</w:t>
            </w:r>
          </w:p>
        </w:tc>
        <w:tc>
          <w:tcPr>
            <w:tcW w:w="863" w:type="dxa"/>
            <w:tcBorders>
              <w:top w:val="single" w:color="auto" w:sz="4" w:space="0"/>
              <w:left w:val="nil"/>
              <w:bottom w:val="single" w:color="auto" w:sz="4" w:space="0"/>
              <w:right w:val="single" w:color="auto" w:sz="4" w:space="0"/>
            </w:tcBorders>
            <w:vAlign w:val="center"/>
          </w:tcPr>
          <w:p w14:paraId="304058F0">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权限</w:t>
            </w:r>
          </w:p>
        </w:tc>
        <w:tc>
          <w:tcPr>
            <w:tcW w:w="2212" w:type="dxa"/>
            <w:tcBorders>
              <w:top w:val="single" w:color="auto" w:sz="4" w:space="0"/>
              <w:left w:val="nil"/>
              <w:bottom w:val="single" w:color="auto" w:sz="4" w:space="0"/>
              <w:right w:val="single" w:color="auto" w:sz="4" w:space="0"/>
            </w:tcBorders>
            <w:vAlign w:val="center"/>
          </w:tcPr>
          <w:p w14:paraId="38EF9ED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责任</w:t>
            </w:r>
          </w:p>
        </w:tc>
        <w:tc>
          <w:tcPr>
            <w:tcW w:w="2382" w:type="dxa"/>
            <w:tcBorders>
              <w:top w:val="single" w:color="auto" w:sz="4" w:space="0"/>
              <w:left w:val="nil"/>
              <w:bottom w:val="single" w:color="auto" w:sz="4" w:space="0"/>
              <w:right w:val="single" w:color="auto" w:sz="4" w:space="0"/>
            </w:tcBorders>
            <w:vAlign w:val="center"/>
          </w:tcPr>
          <w:p w14:paraId="3DCFFEFB">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依据理由</w:t>
            </w:r>
          </w:p>
        </w:tc>
        <w:tc>
          <w:tcPr>
            <w:tcW w:w="473" w:type="dxa"/>
            <w:tcBorders>
              <w:top w:val="single" w:color="auto" w:sz="4" w:space="0"/>
              <w:left w:val="nil"/>
              <w:bottom w:val="single" w:color="auto" w:sz="4" w:space="0"/>
              <w:right w:val="single" w:color="auto" w:sz="4" w:space="0"/>
            </w:tcBorders>
            <w:vAlign w:val="center"/>
          </w:tcPr>
          <w:p w14:paraId="5A55051F">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备注</w:t>
            </w:r>
          </w:p>
        </w:tc>
      </w:tr>
      <w:bookmarkEnd w:id="0"/>
      <w:tr w14:paraId="3A1FE2EF">
        <w:tblPrEx>
          <w:tblCellMar>
            <w:top w:w="0" w:type="dxa"/>
            <w:left w:w="108" w:type="dxa"/>
            <w:bottom w:w="0" w:type="dxa"/>
            <w:right w:w="108" w:type="dxa"/>
          </w:tblCellMar>
        </w:tblPrEx>
        <w:trPr>
          <w:trHeight w:val="694" w:hRule="atLeast"/>
          <w:jc w:val="center"/>
        </w:trPr>
        <w:tc>
          <w:tcPr>
            <w:tcW w:w="675" w:type="dxa"/>
            <w:vMerge w:val="restart"/>
            <w:tcBorders>
              <w:top w:val="single" w:color="auto" w:sz="4" w:space="0"/>
              <w:left w:val="single" w:color="auto" w:sz="4" w:space="0"/>
              <w:right w:val="single" w:color="auto" w:sz="4" w:space="0"/>
            </w:tcBorders>
            <w:vAlign w:val="center"/>
          </w:tcPr>
          <w:p w14:paraId="184951A3">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13" w:type="dxa"/>
            <w:vMerge w:val="restart"/>
            <w:tcBorders>
              <w:top w:val="single" w:color="auto" w:sz="4" w:space="0"/>
              <w:left w:val="nil"/>
              <w:right w:val="single" w:color="auto" w:sz="4" w:space="0"/>
            </w:tcBorders>
            <w:vAlign w:val="center"/>
          </w:tcPr>
          <w:p w14:paraId="43E2EF87">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烈士褒扬及烈属抚恤</w:t>
            </w:r>
          </w:p>
        </w:tc>
        <w:tc>
          <w:tcPr>
            <w:tcW w:w="1181" w:type="dxa"/>
            <w:tcBorders>
              <w:top w:val="single" w:color="auto" w:sz="4" w:space="0"/>
              <w:left w:val="nil"/>
              <w:bottom w:val="single" w:color="auto" w:sz="4" w:space="0"/>
              <w:right w:val="single" w:color="auto" w:sz="4" w:space="0"/>
            </w:tcBorders>
            <w:vAlign w:val="center"/>
          </w:tcPr>
          <w:p w14:paraId="7C537938">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退役军人事务局</w:t>
            </w:r>
          </w:p>
        </w:tc>
        <w:tc>
          <w:tcPr>
            <w:tcW w:w="3600" w:type="dxa"/>
            <w:tcBorders>
              <w:top w:val="single" w:color="auto" w:sz="4" w:space="0"/>
              <w:left w:val="nil"/>
              <w:bottom w:val="single" w:color="auto" w:sz="4" w:space="0"/>
              <w:right w:val="single" w:color="auto" w:sz="4" w:space="0"/>
            </w:tcBorders>
            <w:vAlign w:val="center"/>
          </w:tcPr>
          <w:p w14:paraId="6D7255E9">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负责烈士褒扬工作，指导烈士褒扬金、一次性抚恤金和烈属定期抚恤金等相关抚恤政策的落实</w:t>
            </w:r>
          </w:p>
        </w:tc>
        <w:tc>
          <w:tcPr>
            <w:tcW w:w="2362" w:type="dxa"/>
            <w:tcBorders>
              <w:top w:val="single" w:color="auto" w:sz="4" w:space="0"/>
              <w:left w:val="nil"/>
              <w:bottom w:val="single" w:color="auto" w:sz="4" w:space="0"/>
              <w:right w:val="single" w:color="auto" w:sz="4" w:space="0"/>
            </w:tcBorders>
            <w:vAlign w:val="center"/>
          </w:tcPr>
          <w:p w14:paraId="5DA451F6">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p>
        </w:tc>
        <w:tc>
          <w:tcPr>
            <w:tcW w:w="1200" w:type="dxa"/>
            <w:tcBorders>
              <w:top w:val="single" w:color="auto" w:sz="4" w:space="0"/>
              <w:left w:val="nil"/>
              <w:bottom w:val="single" w:color="auto" w:sz="4" w:space="0"/>
              <w:right w:val="single" w:color="auto" w:sz="4" w:space="0"/>
            </w:tcBorders>
            <w:vAlign w:val="center"/>
          </w:tcPr>
          <w:p w14:paraId="27D356BD">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p>
        </w:tc>
        <w:tc>
          <w:tcPr>
            <w:tcW w:w="863" w:type="dxa"/>
            <w:tcBorders>
              <w:top w:val="single" w:color="auto" w:sz="4" w:space="0"/>
              <w:left w:val="nil"/>
              <w:bottom w:val="single" w:color="auto" w:sz="4" w:space="0"/>
              <w:right w:val="single" w:color="auto" w:sz="4" w:space="0"/>
            </w:tcBorders>
            <w:vAlign w:val="center"/>
          </w:tcPr>
          <w:p w14:paraId="15345FFC">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p>
        </w:tc>
        <w:tc>
          <w:tcPr>
            <w:tcW w:w="2212" w:type="dxa"/>
            <w:tcBorders>
              <w:top w:val="single" w:color="auto" w:sz="4" w:space="0"/>
              <w:left w:val="nil"/>
              <w:bottom w:val="single" w:color="auto" w:sz="4" w:space="0"/>
              <w:right w:val="single" w:color="auto" w:sz="4" w:space="0"/>
            </w:tcBorders>
            <w:vAlign w:val="center"/>
          </w:tcPr>
          <w:p w14:paraId="256FD07F">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p>
        </w:tc>
        <w:tc>
          <w:tcPr>
            <w:tcW w:w="2382" w:type="dxa"/>
            <w:tcBorders>
              <w:top w:val="single" w:color="auto" w:sz="4" w:space="0"/>
              <w:left w:val="nil"/>
              <w:bottom w:val="single" w:color="auto" w:sz="4" w:space="0"/>
              <w:right w:val="single" w:color="auto" w:sz="4" w:space="0"/>
            </w:tcBorders>
            <w:vAlign w:val="center"/>
          </w:tcPr>
          <w:p w14:paraId="2CCC33F8">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p>
        </w:tc>
        <w:tc>
          <w:tcPr>
            <w:tcW w:w="473" w:type="dxa"/>
            <w:tcBorders>
              <w:top w:val="single" w:color="auto" w:sz="4" w:space="0"/>
              <w:left w:val="nil"/>
              <w:bottom w:val="single" w:color="auto" w:sz="4" w:space="0"/>
              <w:right w:val="single" w:color="auto" w:sz="4" w:space="0"/>
            </w:tcBorders>
            <w:vAlign w:val="center"/>
          </w:tcPr>
          <w:p w14:paraId="2069597C">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r>
      <w:tr w14:paraId="7338B34C">
        <w:tblPrEx>
          <w:tblCellMar>
            <w:top w:w="0" w:type="dxa"/>
            <w:left w:w="108" w:type="dxa"/>
            <w:bottom w:w="0" w:type="dxa"/>
            <w:right w:w="108" w:type="dxa"/>
          </w:tblCellMar>
        </w:tblPrEx>
        <w:trPr>
          <w:trHeight w:val="694" w:hRule="atLeast"/>
          <w:jc w:val="center"/>
        </w:trPr>
        <w:tc>
          <w:tcPr>
            <w:tcW w:w="675" w:type="dxa"/>
            <w:vMerge w:val="continue"/>
            <w:tcBorders>
              <w:left w:val="single" w:color="auto" w:sz="4" w:space="0"/>
              <w:bottom w:val="single" w:color="auto" w:sz="4" w:space="0"/>
              <w:right w:val="single" w:color="auto" w:sz="4" w:space="0"/>
            </w:tcBorders>
            <w:vAlign w:val="center"/>
          </w:tcPr>
          <w:p w14:paraId="7134779B">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c>
          <w:tcPr>
            <w:tcW w:w="913" w:type="dxa"/>
            <w:vMerge w:val="continue"/>
            <w:tcBorders>
              <w:left w:val="nil"/>
              <w:bottom w:val="single" w:color="auto" w:sz="4" w:space="0"/>
              <w:right w:val="single" w:color="auto" w:sz="4" w:space="0"/>
            </w:tcBorders>
            <w:vAlign w:val="center"/>
          </w:tcPr>
          <w:p w14:paraId="1DCD436C">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c>
          <w:tcPr>
            <w:tcW w:w="1181" w:type="dxa"/>
            <w:tcBorders>
              <w:top w:val="single" w:color="auto" w:sz="4" w:space="0"/>
              <w:left w:val="nil"/>
              <w:bottom w:val="single" w:color="auto" w:sz="4" w:space="0"/>
              <w:right w:val="single" w:color="auto" w:sz="4" w:space="0"/>
            </w:tcBorders>
            <w:vAlign w:val="center"/>
          </w:tcPr>
          <w:p w14:paraId="6B7FD53B">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人力资源和社会保障局</w:t>
            </w:r>
          </w:p>
        </w:tc>
        <w:tc>
          <w:tcPr>
            <w:tcW w:w="3600" w:type="dxa"/>
            <w:tcBorders>
              <w:top w:val="single" w:color="auto" w:sz="4" w:space="0"/>
              <w:left w:val="nil"/>
              <w:bottom w:val="single" w:color="auto" w:sz="4" w:space="0"/>
              <w:right w:val="single" w:color="auto" w:sz="4" w:space="0"/>
            </w:tcBorders>
            <w:vAlign w:val="center"/>
          </w:tcPr>
          <w:p w14:paraId="1DB404F7">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负责落实属于《工伤保险条例》适用范围的烈士一次性工亡补助金、供养亲属抚恤金发放工作</w:t>
            </w:r>
          </w:p>
        </w:tc>
        <w:tc>
          <w:tcPr>
            <w:tcW w:w="2362" w:type="dxa"/>
            <w:tcBorders>
              <w:top w:val="single" w:color="auto" w:sz="4" w:space="0"/>
              <w:left w:val="nil"/>
              <w:bottom w:val="single" w:color="auto" w:sz="4" w:space="0"/>
              <w:right w:val="single" w:color="auto" w:sz="4" w:space="0"/>
            </w:tcBorders>
            <w:vAlign w:val="center"/>
          </w:tcPr>
          <w:p w14:paraId="7FB830B1">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依据《工伤保险条例》规定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对在抢险救灾等维护国家利益、公共利益活动中受到伤害的作出工伤认定，落实《工伤保险条例》规定的相关工伤待遇。</w:t>
            </w:r>
          </w:p>
        </w:tc>
        <w:tc>
          <w:tcPr>
            <w:tcW w:w="1200" w:type="dxa"/>
            <w:tcBorders>
              <w:top w:val="single" w:color="auto" w:sz="4" w:space="0"/>
              <w:left w:val="nil"/>
              <w:bottom w:val="single" w:color="auto" w:sz="4" w:space="0"/>
              <w:right w:val="single" w:color="auto" w:sz="4" w:space="0"/>
            </w:tcBorders>
            <w:vAlign w:val="center"/>
          </w:tcPr>
          <w:p w14:paraId="23BA50A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themeColor="text1"/>
                <w:sz w:val="32"/>
                <w:szCs w:val="32"/>
                <w14:textFill>
                  <w14:solidFill>
                    <w14:schemeClr w14:val="tx1"/>
                  </w14:solidFill>
                </w14:textFill>
              </w:rPr>
              <w:t>社会保险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w:t>
            </w:r>
          </w:p>
        </w:tc>
        <w:tc>
          <w:tcPr>
            <w:tcW w:w="863" w:type="dxa"/>
            <w:tcBorders>
              <w:top w:val="single" w:color="auto" w:sz="4" w:space="0"/>
              <w:left w:val="nil"/>
              <w:bottom w:val="single" w:color="auto" w:sz="4" w:space="0"/>
              <w:right w:val="single" w:color="auto" w:sz="4" w:space="0"/>
            </w:tcBorders>
            <w:vAlign w:val="center"/>
          </w:tcPr>
          <w:p w14:paraId="2999F696">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color w:val="000000"/>
                <w:kern w:val="0"/>
                <w:sz w:val="32"/>
                <w:szCs w:val="32"/>
              </w:rPr>
            </w:pPr>
          </w:p>
        </w:tc>
        <w:tc>
          <w:tcPr>
            <w:tcW w:w="2212" w:type="dxa"/>
            <w:tcBorders>
              <w:top w:val="single" w:color="auto" w:sz="4" w:space="0"/>
              <w:left w:val="nil"/>
              <w:bottom w:val="single" w:color="auto" w:sz="4" w:space="0"/>
              <w:right w:val="single" w:color="auto" w:sz="4" w:space="0"/>
            </w:tcBorders>
            <w:vAlign w:val="center"/>
          </w:tcPr>
          <w:p w14:paraId="57687AB3">
            <w:pPr>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依据《工伤保险条例》规定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对在抢险救灾等维护国家利益、公共利益活动中受到伤害的作出工伤认定，落实《工伤保险条例》规定的相关工伤待遇。</w:t>
            </w:r>
          </w:p>
        </w:tc>
        <w:tc>
          <w:tcPr>
            <w:tcW w:w="2382" w:type="dxa"/>
            <w:tcBorders>
              <w:top w:val="single" w:color="auto" w:sz="4" w:space="0"/>
              <w:left w:val="nil"/>
              <w:bottom w:val="single" w:color="auto" w:sz="4" w:space="0"/>
              <w:right w:val="single" w:color="auto" w:sz="4" w:space="0"/>
            </w:tcBorders>
            <w:vAlign w:val="center"/>
          </w:tcPr>
          <w:p w14:paraId="182E86D4">
            <w:pPr>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《三定》规定：</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人力资源社会保障局负责落实属于《工伤保险条例》适用范围的烈士一次性工亡补助金、供养亲属抚恤金发放工作。</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《工伤保险条例》。</w:t>
            </w:r>
          </w:p>
        </w:tc>
        <w:tc>
          <w:tcPr>
            <w:tcW w:w="473" w:type="dxa"/>
            <w:tcBorders>
              <w:top w:val="single" w:color="auto" w:sz="4" w:space="0"/>
              <w:left w:val="nil"/>
              <w:bottom w:val="single" w:color="auto" w:sz="4" w:space="0"/>
              <w:right w:val="single" w:color="auto" w:sz="4" w:space="0"/>
            </w:tcBorders>
            <w:vAlign w:val="center"/>
          </w:tcPr>
          <w:p w14:paraId="267F66FD">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r>
      <w:tr w14:paraId="6D9998A6">
        <w:tblPrEx>
          <w:tblCellMar>
            <w:top w:w="0" w:type="dxa"/>
            <w:left w:w="108" w:type="dxa"/>
            <w:bottom w:w="0" w:type="dxa"/>
            <w:right w:w="108" w:type="dxa"/>
          </w:tblCellMar>
        </w:tblPrEx>
        <w:trPr>
          <w:trHeight w:val="1095" w:hRule="atLeast"/>
          <w:jc w:val="center"/>
        </w:trPr>
        <w:tc>
          <w:tcPr>
            <w:tcW w:w="675" w:type="dxa"/>
            <w:vMerge w:val="restart"/>
            <w:tcBorders>
              <w:top w:val="single" w:color="auto" w:sz="4" w:space="0"/>
              <w:left w:val="single" w:color="auto" w:sz="4" w:space="0"/>
              <w:right w:val="single" w:color="auto" w:sz="4" w:space="0"/>
            </w:tcBorders>
            <w:vAlign w:val="center"/>
          </w:tcPr>
          <w:p w14:paraId="7599DD9A">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913" w:type="dxa"/>
            <w:vMerge w:val="restart"/>
            <w:tcBorders>
              <w:top w:val="single" w:color="auto" w:sz="4" w:space="0"/>
              <w:left w:val="single" w:color="auto" w:sz="4" w:space="0"/>
              <w:right w:val="single" w:color="auto" w:sz="4" w:space="0"/>
            </w:tcBorders>
            <w:vAlign w:val="center"/>
          </w:tcPr>
          <w:p w14:paraId="53DECC46">
            <w:pPr>
              <w:keepNext w:val="0"/>
              <w:keepLines w:val="0"/>
              <w:pageBreakBefore w:val="0"/>
              <w:widowControl/>
              <w:kinsoku/>
              <w:wordWrap/>
              <w:overflowPunct/>
              <w:topLinePunct w:val="0"/>
              <w:autoSpaceDE/>
              <w:autoSpaceDN/>
              <w:bidi w:val="0"/>
              <w:adjustRightInd/>
              <w:snapToGrid/>
              <w:spacing w:line="0" w:lineRule="atLeas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行政许可</w:t>
            </w:r>
          </w:p>
        </w:tc>
        <w:tc>
          <w:tcPr>
            <w:tcW w:w="1181" w:type="dxa"/>
            <w:tcBorders>
              <w:top w:val="single" w:color="auto" w:sz="4" w:space="0"/>
              <w:left w:val="single" w:color="auto" w:sz="4" w:space="0"/>
              <w:bottom w:val="single" w:color="auto" w:sz="4" w:space="0"/>
              <w:right w:val="single" w:color="auto" w:sz="4" w:space="0"/>
            </w:tcBorders>
            <w:vAlign w:val="center"/>
          </w:tcPr>
          <w:p w14:paraId="56D34A95">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区行政审批服务局</w:t>
            </w:r>
          </w:p>
        </w:tc>
        <w:tc>
          <w:tcPr>
            <w:tcW w:w="3600" w:type="dxa"/>
            <w:tcBorders>
              <w:top w:val="single" w:color="auto" w:sz="4" w:space="0"/>
              <w:left w:val="single" w:color="auto" w:sz="4" w:space="0"/>
              <w:bottom w:val="single" w:color="auto" w:sz="4" w:space="0"/>
              <w:right w:val="single" w:color="auto" w:sz="4" w:space="0"/>
            </w:tcBorders>
            <w:vAlign w:val="center"/>
          </w:tcPr>
          <w:p w14:paraId="2BC95B44">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负责集中审批工作</w:t>
            </w:r>
          </w:p>
        </w:tc>
        <w:tc>
          <w:tcPr>
            <w:tcW w:w="2362" w:type="dxa"/>
            <w:tcBorders>
              <w:top w:val="single" w:color="auto" w:sz="4" w:space="0"/>
              <w:left w:val="single" w:color="auto" w:sz="4" w:space="0"/>
              <w:bottom w:val="single" w:color="auto" w:sz="4" w:space="0"/>
              <w:right w:val="single" w:color="auto" w:sz="4" w:space="0"/>
            </w:tcBorders>
            <w:vAlign w:val="center"/>
          </w:tcPr>
          <w:p w14:paraId="3B31BF3C">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4702EA35">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tc>
        <w:tc>
          <w:tcPr>
            <w:tcW w:w="1200" w:type="dxa"/>
            <w:tcBorders>
              <w:top w:val="single" w:color="auto" w:sz="4" w:space="0"/>
              <w:left w:val="single" w:color="auto" w:sz="4" w:space="0"/>
              <w:bottom w:val="single" w:color="auto" w:sz="4" w:space="0"/>
              <w:right w:val="single" w:color="auto" w:sz="4" w:space="0"/>
            </w:tcBorders>
            <w:vAlign w:val="center"/>
          </w:tcPr>
          <w:p w14:paraId="0F076A8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6B0EA5F3">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tc>
        <w:tc>
          <w:tcPr>
            <w:tcW w:w="863" w:type="dxa"/>
            <w:tcBorders>
              <w:top w:val="single" w:color="auto" w:sz="4" w:space="0"/>
              <w:left w:val="single" w:color="auto" w:sz="4" w:space="0"/>
              <w:bottom w:val="single" w:color="auto" w:sz="4" w:space="0"/>
              <w:right w:val="single" w:color="auto" w:sz="4" w:space="0"/>
            </w:tcBorders>
            <w:vAlign w:val="center"/>
          </w:tcPr>
          <w:p w14:paraId="725187CC">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70BA6AF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tc>
        <w:tc>
          <w:tcPr>
            <w:tcW w:w="2212" w:type="dxa"/>
            <w:tcBorders>
              <w:top w:val="single" w:color="auto" w:sz="4" w:space="0"/>
              <w:left w:val="single" w:color="auto" w:sz="4" w:space="0"/>
              <w:bottom w:val="single" w:color="auto" w:sz="4" w:space="0"/>
              <w:right w:val="single" w:color="auto" w:sz="4" w:space="0"/>
            </w:tcBorders>
            <w:vAlign w:val="center"/>
          </w:tcPr>
          <w:p w14:paraId="13F35EE8">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668B1C41">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tc>
        <w:tc>
          <w:tcPr>
            <w:tcW w:w="2382" w:type="dxa"/>
            <w:tcBorders>
              <w:top w:val="single" w:color="auto" w:sz="4" w:space="0"/>
              <w:left w:val="single" w:color="auto" w:sz="4" w:space="0"/>
              <w:bottom w:val="single" w:color="auto" w:sz="4" w:space="0"/>
              <w:right w:val="single" w:color="auto" w:sz="4" w:space="0"/>
            </w:tcBorders>
            <w:vAlign w:val="center"/>
          </w:tcPr>
          <w:p w14:paraId="2CCE7D54">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6E3FB5EF">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c>
          <w:tcPr>
            <w:tcW w:w="473" w:type="dxa"/>
            <w:tcBorders>
              <w:top w:val="single" w:color="auto" w:sz="4" w:space="0"/>
              <w:left w:val="single" w:color="auto" w:sz="4" w:space="0"/>
              <w:bottom w:val="single" w:color="auto" w:sz="4" w:space="0"/>
              <w:right w:val="single" w:color="auto" w:sz="4" w:space="0"/>
            </w:tcBorders>
            <w:vAlign w:val="center"/>
          </w:tcPr>
          <w:p w14:paraId="06E325CF">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29E3FFEC">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7317869B">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14:paraId="333BB915">
        <w:tblPrEx>
          <w:tblCellMar>
            <w:top w:w="0" w:type="dxa"/>
            <w:left w:w="108" w:type="dxa"/>
            <w:bottom w:w="0" w:type="dxa"/>
            <w:right w:w="108" w:type="dxa"/>
          </w:tblCellMar>
        </w:tblPrEx>
        <w:trPr>
          <w:trHeight w:val="2224" w:hRule="atLeast"/>
          <w:jc w:val="center"/>
        </w:trPr>
        <w:tc>
          <w:tcPr>
            <w:tcW w:w="675" w:type="dxa"/>
            <w:vMerge w:val="continue"/>
            <w:tcBorders>
              <w:left w:val="single" w:color="auto" w:sz="4" w:space="0"/>
              <w:right w:val="single" w:color="auto" w:sz="4" w:space="0"/>
            </w:tcBorders>
            <w:vAlign w:val="center"/>
          </w:tcPr>
          <w:p w14:paraId="7835117E">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p>
        </w:tc>
        <w:tc>
          <w:tcPr>
            <w:tcW w:w="913" w:type="dxa"/>
            <w:vMerge w:val="continue"/>
            <w:tcBorders>
              <w:left w:val="single" w:color="auto" w:sz="4" w:space="0"/>
              <w:right w:val="single" w:color="auto" w:sz="4" w:space="0"/>
            </w:tcBorders>
            <w:vAlign w:val="center"/>
          </w:tcPr>
          <w:p w14:paraId="0CC17C86">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p>
        </w:tc>
        <w:tc>
          <w:tcPr>
            <w:tcW w:w="1181" w:type="dxa"/>
            <w:vMerge w:val="restart"/>
            <w:tcBorders>
              <w:top w:val="single" w:color="auto" w:sz="4" w:space="0"/>
              <w:left w:val="single" w:color="auto" w:sz="4" w:space="0"/>
              <w:right w:val="single" w:color="auto" w:sz="4" w:space="0"/>
            </w:tcBorders>
            <w:vAlign w:val="center"/>
          </w:tcPr>
          <w:p w14:paraId="20A2B91B">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区人力资源和社会保障局</w:t>
            </w:r>
          </w:p>
        </w:tc>
        <w:tc>
          <w:tcPr>
            <w:tcW w:w="3600" w:type="dxa"/>
            <w:vMerge w:val="restart"/>
            <w:tcBorders>
              <w:top w:val="single" w:color="auto" w:sz="4" w:space="0"/>
              <w:left w:val="single" w:color="auto" w:sz="4" w:space="0"/>
              <w:right w:val="single" w:color="auto" w:sz="4" w:space="0"/>
            </w:tcBorders>
            <w:vAlign w:val="center"/>
          </w:tcPr>
          <w:p w14:paraId="3D2310E7">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按照“谁审批谁负责、谁主管谁监管”的原则，区行政审批服务局负责集中审批工作，区人力资源社会保障局突出加强事中事后监管，建立协调配合工作机制，严格落实监管责任。</w:t>
            </w:r>
          </w:p>
        </w:tc>
        <w:tc>
          <w:tcPr>
            <w:tcW w:w="2362" w:type="dxa"/>
            <w:tcBorders>
              <w:top w:val="single" w:color="auto" w:sz="4" w:space="0"/>
              <w:left w:val="single" w:color="auto" w:sz="4" w:space="0"/>
              <w:bottom w:val="single" w:color="auto" w:sz="4" w:space="0"/>
              <w:right w:val="single" w:color="auto" w:sz="4" w:space="0"/>
            </w:tcBorders>
            <w:vAlign w:val="center"/>
          </w:tcPr>
          <w:p w14:paraId="0C021AC6">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劳务派遣经营许可经区行政审批服务局集中审批，区人社局突出加强事中事后监管。</w:t>
            </w:r>
          </w:p>
        </w:tc>
        <w:tc>
          <w:tcPr>
            <w:tcW w:w="1200" w:type="dxa"/>
            <w:tcBorders>
              <w:top w:val="single" w:color="auto" w:sz="4" w:space="0"/>
              <w:left w:val="nil"/>
              <w:bottom w:val="single" w:color="auto" w:sz="4" w:space="0"/>
              <w:right w:val="single" w:color="auto" w:sz="4" w:space="0"/>
            </w:tcBorders>
            <w:vAlign w:val="center"/>
          </w:tcPr>
          <w:p w14:paraId="61624E3E">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劳动关系与基金监督工作室</w:t>
            </w:r>
          </w:p>
        </w:tc>
        <w:tc>
          <w:tcPr>
            <w:tcW w:w="863" w:type="dxa"/>
            <w:tcBorders>
              <w:top w:val="single" w:color="auto" w:sz="4" w:space="0"/>
              <w:left w:val="nil"/>
              <w:bottom w:val="single" w:color="auto" w:sz="4" w:space="0"/>
              <w:right w:val="single" w:color="auto" w:sz="4" w:space="0"/>
            </w:tcBorders>
            <w:vAlign w:val="center"/>
          </w:tcPr>
          <w:p w14:paraId="261DC0D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2212" w:type="dxa"/>
            <w:tcBorders>
              <w:top w:val="single" w:color="auto" w:sz="4" w:space="0"/>
              <w:left w:val="nil"/>
              <w:bottom w:val="single" w:color="auto" w:sz="4" w:space="0"/>
              <w:right w:val="single" w:color="auto" w:sz="4" w:space="0"/>
            </w:tcBorders>
            <w:vAlign w:val="center"/>
          </w:tcPr>
          <w:p w14:paraId="5EBFE44B">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严格落实监管责任，及时开展监督检查。 </w:t>
            </w:r>
          </w:p>
        </w:tc>
        <w:tc>
          <w:tcPr>
            <w:tcW w:w="2382" w:type="dxa"/>
            <w:vMerge w:val="restart"/>
            <w:tcBorders>
              <w:top w:val="single" w:color="auto" w:sz="4" w:space="0"/>
              <w:left w:val="nil"/>
              <w:right w:val="single" w:color="auto" w:sz="4" w:space="0"/>
            </w:tcBorders>
            <w:vAlign w:val="center"/>
          </w:tcPr>
          <w:p w14:paraId="3DFAF8E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《三定》规定：区人力资源社会保障局突出加强事中事后监管，建立协调配合工作机制，严格落实监管责任。</w:t>
            </w:r>
          </w:p>
        </w:tc>
        <w:tc>
          <w:tcPr>
            <w:tcW w:w="473" w:type="dxa"/>
            <w:vMerge w:val="restart"/>
            <w:tcBorders>
              <w:top w:val="single" w:color="auto" w:sz="4" w:space="0"/>
              <w:left w:val="nil"/>
              <w:right w:val="single" w:color="auto" w:sz="4" w:space="0"/>
            </w:tcBorders>
            <w:vAlign w:val="center"/>
          </w:tcPr>
          <w:p w14:paraId="3B7C3DE0">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4EDB834D">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651BD547">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14:paraId="549A7A18">
        <w:tblPrEx>
          <w:tblCellMar>
            <w:top w:w="0" w:type="dxa"/>
            <w:left w:w="108" w:type="dxa"/>
            <w:bottom w:w="0" w:type="dxa"/>
            <w:right w:w="108" w:type="dxa"/>
          </w:tblCellMar>
        </w:tblPrEx>
        <w:trPr>
          <w:trHeight w:val="2598" w:hRule="atLeast"/>
          <w:jc w:val="center"/>
        </w:trPr>
        <w:tc>
          <w:tcPr>
            <w:tcW w:w="675" w:type="dxa"/>
            <w:vMerge w:val="continue"/>
            <w:tcBorders>
              <w:left w:val="single" w:color="auto" w:sz="4" w:space="0"/>
              <w:right w:val="single" w:color="auto" w:sz="4" w:space="0"/>
            </w:tcBorders>
            <w:vAlign w:val="center"/>
          </w:tcPr>
          <w:p w14:paraId="67A3CD92">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c>
          <w:tcPr>
            <w:tcW w:w="913" w:type="dxa"/>
            <w:vMerge w:val="continue"/>
            <w:tcBorders>
              <w:left w:val="single" w:color="auto" w:sz="4" w:space="0"/>
              <w:right w:val="single" w:color="auto" w:sz="4" w:space="0"/>
            </w:tcBorders>
            <w:vAlign w:val="center"/>
          </w:tcPr>
          <w:p w14:paraId="64631C2D">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c>
          <w:tcPr>
            <w:tcW w:w="1181" w:type="dxa"/>
            <w:vMerge w:val="continue"/>
            <w:tcBorders>
              <w:left w:val="single" w:color="auto" w:sz="4" w:space="0"/>
              <w:right w:val="single" w:color="auto" w:sz="4" w:space="0"/>
            </w:tcBorders>
            <w:vAlign w:val="center"/>
          </w:tcPr>
          <w:p w14:paraId="607282CE">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3600" w:type="dxa"/>
            <w:vMerge w:val="continue"/>
            <w:tcBorders>
              <w:left w:val="single" w:color="auto" w:sz="4" w:space="0"/>
              <w:right w:val="single" w:color="auto" w:sz="4" w:space="0"/>
            </w:tcBorders>
            <w:vAlign w:val="center"/>
          </w:tcPr>
          <w:p w14:paraId="56330999">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2362" w:type="dxa"/>
            <w:tcBorders>
              <w:top w:val="single" w:color="auto" w:sz="4" w:space="0"/>
              <w:left w:val="single" w:color="auto" w:sz="4" w:space="0"/>
              <w:bottom w:val="single" w:color="auto" w:sz="4" w:space="0"/>
              <w:right w:val="single" w:color="auto" w:sz="4" w:space="0"/>
            </w:tcBorders>
            <w:vAlign w:val="center"/>
          </w:tcPr>
          <w:p w14:paraId="449CABB8">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经营性人力资源服务机构从事职业中介活动许可经区行政审批服务局集中审批，区人社局突出加强事中事后监管。</w:t>
            </w:r>
          </w:p>
        </w:tc>
        <w:tc>
          <w:tcPr>
            <w:tcW w:w="1200" w:type="dxa"/>
            <w:tcBorders>
              <w:top w:val="single" w:color="auto" w:sz="4" w:space="0"/>
              <w:left w:val="nil"/>
              <w:bottom w:val="single" w:color="auto" w:sz="4" w:space="0"/>
              <w:right w:val="single" w:color="auto" w:sz="4" w:space="0"/>
            </w:tcBorders>
            <w:vAlign w:val="center"/>
          </w:tcPr>
          <w:p w14:paraId="65E6BE7E">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r>
              <w:rPr>
                <w:rFonts w:hint="eastAsia" w:eastAsia="仿宋_GB2312"/>
                <w:bCs/>
                <w:sz w:val="32"/>
                <w:szCs w:val="32"/>
              </w:rPr>
              <w:t>就业失业服务室</w:t>
            </w:r>
          </w:p>
        </w:tc>
        <w:tc>
          <w:tcPr>
            <w:tcW w:w="863" w:type="dxa"/>
            <w:tcBorders>
              <w:top w:val="single" w:color="auto" w:sz="4" w:space="0"/>
              <w:left w:val="nil"/>
              <w:bottom w:val="single" w:color="auto" w:sz="4" w:space="0"/>
              <w:right w:val="single" w:color="auto" w:sz="4" w:space="0"/>
            </w:tcBorders>
            <w:vAlign w:val="top"/>
          </w:tcPr>
          <w:p w14:paraId="35B0C8F1">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2212" w:type="dxa"/>
            <w:tcBorders>
              <w:top w:val="single" w:color="auto" w:sz="4" w:space="0"/>
              <w:left w:val="nil"/>
              <w:bottom w:val="single" w:color="auto" w:sz="4" w:space="0"/>
              <w:right w:val="single" w:color="auto" w:sz="4" w:space="0"/>
            </w:tcBorders>
            <w:vAlign w:val="center"/>
          </w:tcPr>
          <w:p w14:paraId="3002E074">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严格落实监管责任，及时开展监督检查。 </w:t>
            </w:r>
          </w:p>
        </w:tc>
        <w:tc>
          <w:tcPr>
            <w:tcW w:w="2382" w:type="dxa"/>
            <w:vMerge w:val="continue"/>
            <w:tcBorders>
              <w:left w:val="nil"/>
              <w:right w:val="single" w:color="auto" w:sz="4" w:space="0"/>
            </w:tcBorders>
            <w:vAlign w:val="center"/>
          </w:tcPr>
          <w:p w14:paraId="39717143">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sz w:val="32"/>
                <w:szCs w:val="32"/>
              </w:rPr>
            </w:pPr>
          </w:p>
        </w:tc>
        <w:tc>
          <w:tcPr>
            <w:tcW w:w="473" w:type="dxa"/>
            <w:vMerge w:val="continue"/>
            <w:tcBorders>
              <w:left w:val="nil"/>
              <w:bottom w:val="single" w:color="auto" w:sz="4" w:space="0"/>
              <w:right w:val="single" w:color="auto" w:sz="4" w:space="0"/>
            </w:tcBorders>
            <w:vAlign w:val="center"/>
          </w:tcPr>
          <w:p w14:paraId="5D6077FF">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p>
        </w:tc>
      </w:tr>
      <w:tr w14:paraId="4205244B">
        <w:tblPrEx>
          <w:tblCellMar>
            <w:top w:w="0" w:type="dxa"/>
            <w:left w:w="108" w:type="dxa"/>
            <w:bottom w:w="0" w:type="dxa"/>
            <w:right w:w="108" w:type="dxa"/>
          </w:tblCellMar>
        </w:tblPrEx>
        <w:trPr>
          <w:trHeight w:val="1860" w:hRule="atLeast"/>
          <w:jc w:val="center"/>
        </w:trPr>
        <w:tc>
          <w:tcPr>
            <w:tcW w:w="675" w:type="dxa"/>
            <w:vMerge w:val="continue"/>
            <w:tcBorders>
              <w:left w:val="single" w:color="auto" w:sz="4" w:space="0"/>
              <w:bottom w:val="single" w:color="000000" w:sz="4" w:space="0"/>
              <w:right w:val="single" w:color="auto" w:sz="4" w:space="0"/>
            </w:tcBorders>
            <w:vAlign w:val="center"/>
          </w:tcPr>
          <w:p w14:paraId="76AE607D">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c>
          <w:tcPr>
            <w:tcW w:w="913" w:type="dxa"/>
            <w:vMerge w:val="continue"/>
            <w:tcBorders>
              <w:left w:val="single" w:color="auto" w:sz="4" w:space="0"/>
              <w:bottom w:val="single" w:color="000000" w:sz="4" w:space="0"/>
              <w:right w:val="single" w:color="auto" w:sz="4" w:space="0"/>
            </w:tcBorders>
            <w:vAlign w:val="center"/>
          </w:tcPr>
          <w:p w14:paraId="4AB22CEE">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32"/>
                <w:szCs w:val="32"/>
              </w:rPr>
            </w:pPr>
          </w:p>
        </w:tc>
        <w:tc>
          <w:tcPr>
            <w:tcW w:w="1181" w:type="dxa"/>
            <w:vMerge w:val="continue"/>
            <w:tcBorders>
              <w:left w:val="single" w:color="auto" w:sz="4" w:space="0"/>
              <w:bottom w:val="single" w:color="auto" w:sz="4" w:space="0"/>
              <w:right w:val="single" w:color="auto" w:sz="4" w:space="0"/>
            </w:tcBorders>
            <w:vAlign w:val="center"/>
          </w:tcPr>
          <w:p w14:paraId="5BEF8C98">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3600" w:type="dxa"/>
            <w:vMerge w:val="continue"/>
            <w:tcBorders>
              <w:left w:val="single" w:color="auto" w:sz="4" w:space="0"/>
              <w:bottom w:val="single" w:color="000000" w:sz="4" w:space="0"/>
              <w:right w:val="single" w:color="auto" w:sz="4" w:space="0"/>
            </w:tcBorders>
            <w:vAlign w:val="center"/>
          </w:tcPr>
          <w:p w14:paraId="6D5AD0E6">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2362" w:type="dxa"/>
            <w:tcBorders>
              <w:top w:val="single" w:color="auto" w:sz="4" w:space="0"/>
              <w:left w:val="single" w:color="auto" w:sz="4" w:space="0"/>
              <w:bottom w:val="single" w:color="auto" w:sz="4" w:space="0"/>
              <w:right w:val="single" w:color="auto" w:sz="4" w:space="0"/>
            </w:tcBorders>
            <w:vAlign w:val="center"/>
          </w:tcPr>
          <w:p w14:paraId="3C9C4100">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lang w:val="en-US" w:eastAsia="zh-CN"/>
              </w:rPr>
              <w:t>承担</w:t>
            </w:r>
            <w:r>
              <w:rPr>
                <w:rFonts w:hint="eastAsia" w:ascii="仿宋_GB2312" w:eastAsia="仿宋_GB2312" w:cs="仿宋_GB2312"/>
                <w:sz w:val="32"/>
                <w:szCs w:val="32"/>
              </w:rPr>
              <w:t>民办职业培训机构</w:t>
            </w:r>
            <w:r>
              <w:rPr>
                <w:rFonts w:hint="eastAsia" w:ascii="仿宋_GB2312" w:eastAsia="仿宋_GB2312" w:cs="仿宋_GB2312"/>
                <w:sz w:val="32"/>
                <w:szCs w:val="32"/>
                <w:lang w:val="en-US" w:eastAsia="zh-CN"/>
              </w:rPr>
              <w:t>的监管主体责任，负责事中事后监管。</w:t>
            </w:r>
          </w:p>
        </w:tc>
        <w:tc>
          <w:tcPr>
            <w:tcW w:w="1200" w:type="dxa"/>
            <w:tcBorders>
              <w:top w:val="single" w:color="auto" w:sz="4" w:space="0"/>
              <w:left w:val="nil"/>
              <w:bottom w:val="single" w:color="auto" w:sz="4" w:space="0"/>
              <w:right w:val="single" w:color="auto" w:sz="4" w:space="0"/>
            </w:tcBorders>
            <w:vAlign w:val="center"/>
          </w:tcPr>
          <w:p w14:paraId="7DE10FE3">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default" w:ascii="仿宋_GB2312" w:hAnsi="仿宋_GB2312" w:eastAsia="仿宋_GB2312" w:cs="仿宋_GB2312"/>
                <w:sz w:val="32"/>
                <w:szCs w:val="32"/>
                <w:lang w:val="en-US" w:eastAsia="zh-CN"/>
              </w:rPr>
            </w:pPr>
            <w:r>
              <w:rPr>
                <w:rFonts w:hint="eastAsia" w:eastAsia="仿宋_GB2312"/>
                <w:bCs/>
                <w:sz w:val="32"/>
                <w:szCs w:val="32"/>
              </w:rPr>
              <w:t>职业培训室</w:t>
            </w:r>
          </w:p>
        </w:tc>
        <w:tc>
          <w:tcPr>
            <w:tcW w:w="863" w:type="dxa"/>
            <w:tcBorders>
              <w:top w:val="single" w:color="auto" w:sz="4" w:space="0"/>
              <w:left w:val="nil"/>
              <w:bottom w:val="single" w:color="auto" w:sz="4" w:space="0"/>
              <w:right w:val="single" w:color="auto" w:sz="4" w:space="0"/>
            </w:tcBorders>
            <w:vAlign w:val="top"/>
          </w:tcPr>
          <w:p w14:paraId="1A327BFF">
            <w:pPr>
              <w:keepNext w:val="0"/>
              <w:keepLines w:val="0"/>
              <w:pageBreakBefore w:val="0"/>
              <w:widowControl/>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lang w:val="en-US" w:eastAsia="zh-CN"/>
              </w:rPr>
            </w:pPr>
          </w:p>
        </w:tc>
        <w:tc>
          <w:tcPr>
            <w:tcW w:w="2212" w:type="dxa"/>
            <w:tcBorders>
              <w:top w:val="single" w:color="auto" w:sz="4" w:space="0"/>
              <w:left w:val="nil"/>
              <w:bottom w:val="single" w:color="auto" w:sz="4" w:space="0"/>
              <w:right w:val="single" w:color="auto" w:sz="4" w:space="0"/>
            </w:tcBorders>
            <w:vAlign w:val="center"/>
          </w:tcPr>
          <w:p w14:paraId="1B1C577B">
            <w:pPr>
              <w:keepNext w:val="0"/>
              <w:keepLines w:val="0"/>
              <w:pageBreakBefore w:val="0"/>
              <w:widowControl/>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lang w:val="en-US" w:eastAsia="zh-CN"/>
              </w:rPr>
              <w:t>配合行政审批局开展</w:t>
            </w:r>
            <w:r>
              <w:rPr>
                <w:rFonts w:hint="eastAsia" w:ascii="仿宋_GB2312" w:eastAsia="仿宋_GB2312" w:cs="仿宋_GB2312"/>
                <w:sz w:val="32"/>
                <w:szCs w:val="32"/>
              </w:rPr>
              <w:t>民办职业培训机构</w:t>
            </w:r>
            <w:r>
              <w:rPr>
                <w:rFonts w:hint="eastAsia" w:ascii="仿宋_GB2312" w:eastAsia="仿宋_GB2312" w:cs="仿宋_GB2312"/>
                <w:sz w:val="32"/>
                <w:szCs w:val="32"/>
                <w:lang w:val="en-US" w:eastAsia="zh-CN"/>
              </w:rPr>
              <w:t>场地的验收。</w:t>
            </w:r>
          </w:p>
        </w:tc>
        <w:tc>
          <w:tcPr>
            <w:tcW w:w="2382" w:type="dxa"/>
            <w:vMerge w:val="continue"/>
            <w:tcBorders>
              <w:left w:val="nil"/>
              <w:bottom w:val="single" w:color="auto" w:sz="4" w:space="0"/>
              <w:right w:val="single" w:color="auto" w:sz="4" w:space="0"/>
            </w:tcBorders>
            <w:vAlign w:val="center"/>
          </w:tcPr>
          <w:p w14:paraId="1A198F06">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sz w:val="32"/>
                <w:szCs w:val="32"/>
              </w:rPr>
            </w:pPr>
          </w:p>
        </w:tc>
        <w:tc>
          <w:tcPr>
            <w:tcW w:w="473" w:type="dxa"/>
            <w:tcBorders>
              <w:left w:val="nil"/>
              <w:bottom w:val="single" w:color="auto" w:sz="4" w:space="0"/>
              <w:right w:val="single" w:color="auto" w:sz="4" w:space="0"/>
            </w:tcBorders>
            <w:vAlign w:val="center"/>
          </w:tcPr>
          <w:p w14:paraId="62ED743E">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color w:val="000000"/>
                <w:kern w:val="0"/>
                <w:sz w:val="32"/>
                <w:szCs w:val="32"/>
              </w:rPr>
            </w:pPr>
          </w:p>
        </w:tc>
      </w:tr>
    </w:tbl>
    <w:p w14:paraId="7182250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NDc1MWRlMTI4NTVjMDgyYTFkMTdjMzA1Yzk4NTUifQ=="/>
  </w:docVars>
  <w:rsids>
    <w:rsidRoot w:val="6D7E3106"/>
    <w:rsid w:val="066A66C2"/>
    <w:rsid w:val="08C02C15"/>
    <w:rsid w:val="1CEB30FE"/>
    <w:rsid w:val="2F6D6520"/>
    <w:rsid w:val="4758103D"/>
    <w:rsid w:val="4BEF14C6"/>
    <w:rsid w:val="4FD77850"/>
    <w:rsid w:val="612D1CDC"/>
    <w:rsid w:val="6D7E3106"/>
    <w:rsid w:val="6FDC4F49"/>
    <w:rsid w:val="750227E5"/>
    <w:rsid w:val="7831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32"/>
    </w:rPr>
  </w:style>
  <w:style w:type="paragraph" w:styleId="3">
    <w:name w:val="heading 2"/>
    <w:basedOn w:val="1"/>
    <w:next w:val="1"/>
    <w:semiHidden/>
    <w:unhideWhenUsed/>
    <w:qFormat/>
    <w:uiPriority w:val="0"/>
    <w:pPr>
      <w:widowControl/>
      <w:autoSpaceDE w:val="0"/>
      <w:autoSpaceDN w:val="0"/>
      <w:spacing w:before="-2147483648" w:beforeAutospacing="1" w:after="-2147483648" w:afterAutospacing="1" w:line="560" w:lineRule="exact"/>
      <w:jc w:val="left"/>
      <w:outlineLvl w:val="1"/>
    </w:pPr>
    <w:rPr>
      <w:rFonts w:ascii="宋体" w:hAnsi="宋体" w:eastAsia="黑体" w:cs="宋体"/>
      <w:bCs/>
      <w:kern w:val="0"/>
      <w:sz w:val="32"/>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743</Words>
  <Characters>745</Characters>
  <Lines>0</Lines>
  <Paragraphs>0</Paragraphs>
  <TotalTime>4</TotalTime>
  <ScaleCrop>false</ScaleCrop>
  <LinksUpToDate>false</LinksUpToDate>
  <CharactersWithSpaces>763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2019-11-14T09:46:00Z</dcterms:created>
  <dc:creator>听风</dc:creator>
  <cp:lastModifiedBy>xy</cp:lastModifiedBy>
  <cp:lastPrinted>2019-12-12T10:18:00Z</cp:lastPrinted>
  <dcterms:modified xsi:type="dcterms:W3CDTF">2024-08-26T01:59:48Z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4B04747443794F3DB188228ABC6FB4B7_13</vt:lpwstr>
  </property>
</Properties>
</file>