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2092E6">
      <w:pPr>
        <w:jc w:val="center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  <w:t>兽用易制毒化学品等特殊管制兽药管理明白纸</w:t>
      </w:r>
    </w:p>
    <w:p w14:paraId="64413E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40" w:firstLineChars="200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  <w:t>一、</w:t>
      </w:r>
      <w:bookmarkStart w:id="0" w:name="_GoBack"/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  <w:t xml:space="preserve">兽用特殊管制药品的定义与分类 兽用特殊管制药品是指因其特殊药理作用、潜在滥用风险或公共安全危害而受到国家严格监管的兽药品种，主要包括以下几类： </w:t>
      </w:r>
    </w:p>
    <w:p w14:paraId="54610B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40" w:firstLineChars="200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  <w:t xml:space="preserve">1.兽用易制毒化学品：指可用于制造毒品的兽药原料或化学配剂，分为三类管理 </w:t>
      </w:r>
    </w:p>
    <w:p w14:paraId="6CF53A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40" w:firstLineChars="200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  <w:t xml:space="preserve">第一类：可用于制毒的主要原料（如麻黄素类物质、麦角新碱等） </w:t>
      </w:r>
    </w:p>
    <w:p w14:paraId="20FAF3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40" w:firstLineChars="200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  <w:t xml:space="preserve">第二类：可用于制毒的化学配剂（如苯乙酸、醋酸酐、高锰酸钾等） </w:t>
      </w:r>
    </w:p>
    <w:p w14:paraId="6B8A4E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40" w:firstLineChars="200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  <w:t xml:space="preserve">第三类：其他可用于制毒的化学配剂（如甲苯、丙酮等） </w:t>
      </w:r>
    </w:p>
    <w:p w14:paraId="25B987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40" w:firstLineChars="200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  <w:t xml:space="preserve">2.其他特殊管制兽药： 兽用麻醉药品（如塞拉嗪、替来他明等） 兽用精神药品 兽用毒性药品 兽用放射性药品 </w:t>
      </w:r>
    </w:p>
    <w:p w14:paraId="5633DC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40" w:firstLineChars="200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  <w:t xml:space="preserve">二、经营许可与资质要求 </w:t>
      </w:r>
    </w:p>
    <w:p w14:paraId="49AE9F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40" w:firstLineChars="200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  <w:t xml:space="preserve">1.经营许可：经营兽用特殊药品必须取得《兽药经营许可证》，且许可证经营范围需明确标注"兽用特殊药品"及具体类别 </w:t>
      </w:r>
    </w:p>
    <w:p w14:paraId="0A5F16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40" w:firstLineChars="200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  <w:t xml:space="preserve">2.资质条件： 需配备专用仓库或专柜，符合国家防盗、防火标准 需建立双人双锁、专用账册、单独处方等管理制度 管理人员需经专业培训，熟悉药品特性和应急处理措施 </w:t>
      </w:r>
    </w:p>
    <w:p w14:paraId="03A622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40" w:firstLineChars="200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  <w:t xml:space="preserve">三、采购与销售管理 </w:t>
      </w:r>
    </w:p>
    <w:p w14:paraId="120A15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40" w:firstLineChars="200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  <w:t xml:space="preserve">1.采购来源：必须从省级以上兽药监督管理部门指定的兽药批发企业购进 </w:t>
      </w:r>
    </w:p>
    <w:p w14:paraId="56D97F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40" w:firstLineChars="200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  <w:t xml:space="preserve">2.销售控制： 兽用麻醉药品和一类精神药品需凭"麻醉兽药购用印鉴卡"销售，仅限供应县级及以上医疗机构 严禁向个人销售第一类、第二类易制毒化学品 禁止现金交易（个人购买特定药品制剂除外） </w:t>
      </w:r>
    </w:p>
    <w:p w14:paraId="4158C4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40" w:firstLineChars="200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  <w:t xml:space="preserve">3.记录要求： 建立完整的购销台账，记录品种、数量、流向等信息 处方保存至少5年 </w:t>
      </w:r>
    </w:p>
    <w:p w14:paraId="1A6D5F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40" w:firstLineChars="200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  <w:t xml:space="preserve">四、储存与保管要求 </w:t>
      </w:r>
    </w:p>
    <w:p w14:paraId="317EC9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40" w:firstLineChars="200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  <w:t xml:space="preserve">1.储存设施： 专用仓库需配备防盗门、监控设施和与公安机关联网的报警装置 需符合《建筑设计防火规范》要求，与生活区保持安全距离 </w:t>
      </w:r>
    </w:p>
    <w:p w14:paraId="723827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40" w:firstLineChars="200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  <w:t xml:space="preserve">2.分类存放： 不同性质药品需分类存放，严禁与禁忌物料混存 剧毒化学品需单独存放，实行"双人收发、双人保管" </w:t>
      </w:r>
    </w:p>
    <w:p w14:paraId="3625E0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40" w:firstLineChars="200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  <w:t xml:space="preserve">3.包装标识： 包装需标明产品名称、化学分子式、成分及危害特性 需实行"一书一签"制（安全技术说明书和安全标签） </w:t>
      </w:r>
    </w:p>
    <w:p w14:paraId="53FBBE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40" w:firstLineChars="200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  <w:t xml:space="preserve">五、使用规范与限制 </w:t>
      </w:r>
    </w:p>
    <w:p w14:paraId="40B3DB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40" w:firstLineChars="200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  <w:t xml:space="preserve">1.使用原则： 仅限用于畜禽医疗、教学和科研用途 严禁以兽用名义供人使用 严格遵守休药期规定 </w:t>
      </w:r>
    </w:p>
    <w:p w14:paraId="06825E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40" w:firstLineChars="200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  <w:t xml:space="preserve">2.使用管理： 需凭兽医处方使用 领用量一般不超过三天用量，多余物料及时退库 使用场所需配备防护用品和解毒物品 </w:t>
      </w:r>
    </w:p>
    <w:p w14:paraId="476695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40" w:firstLineChars="200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  <w:t xml:space="preserve">六、法律责任与处罚 </w:t>
      </w:r>
    </w:p>
    <w:p w14:paraId="589E48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40" w:firstLineChars="200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  <w:t xml:space="preserve">1.违法后果： 非法生产、经营、购买、运输易制毒化学品将面临行政处罚或刑事处罚 触犯刑法的将移交司法机关处理 </w:t>
      </w:r>
    </w:p>
    <w:p w14:paraId="1DAD92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40" w:firstLineChars="200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  <w:t xml:space="preserve">2.举报制度： 国家鼓励举报违法行为，对举报属实者给予奖励 举报渠道：公安机关或农业农村部门 *本明白纸依据现行法律法规编制，具体执行请以最新法规和主管部门要求为准。* </w:t>
      </w:r>
    </w:p>
    <w:bookmarkEnd w:id="0"/>
    <w:p w14:paraId="04AED1D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85106F"/>
    <w:rsid w:val="28851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2025-11-03T03:28:00Z</dcterms:created>
  <dc:creator>一个坚强的伙计</dc:creator>
  <cp:lastModifiedBy>一个坚强的伙计</cp:lastModifiedBy>
  <dcterms:modified xsi:type="dcterms:W3CDTF">2025-11-03T06:14:45Z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3A6CDDC1099A4DDF9DD89A059A30E1A4_11</vt:lpwstr>
  </property>
  <property fmtid="{D5CDD505-2E9C-101B-9397-08002B2CF9AE}" pid="4" name="KSOTemplateDocerSaveRecord">
    <vt:lpwstr>eyJoZGlkIjoiNDJhYjc5ZmQ1ODhjNjM1NTI0MzA1NDJhMmE1MTdiNDgiLCJ1c2VySWQiOiI2MjM0OTUxMjkifQ==</vt:lpwstr>
  </property>
</Properties>
</file>