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p>
    <w:p>
      <w:pPr>
        <w:bidi w:val="0"/>
        <w:rPr>
          <w:rFonts w:hint="eastAsia"/>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Calibri" w:eastAsia="方正小标宋简体" w:cs="Times New Roman"/>
          <w:kern w:val="2"/>
          <w:sz w:val="32"/>
          <w:szCs w:val="32"/>
          <w:lang w:val="en-US" w:eastAsia="zh-CN" w:bidi="ar-SA"/>
        </w:rPr>
      </w:pPr>
      <w:r>
        <w:rPr>
          <w:rFonts w:hint="eastAsia" w:ascii="仿宋_GB2312" w:hAnsi="仿宋_GB2312" w:eastAsia="仿宋_GB2312" w:cs="仿宋_GB2312"/>
          <w:sz w:val="32"/>
          <w:szCs w:val="32"/>
        </w:rPr>
        <w:t>台农委办字〔202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kern w:val="2"/>
          <w:sz w:val="44"/>
          <w:szCs w:val="44"/>
          <w:lang w:val="en-US" w:eastAsia="zh-CN" w:bidi="ar-SA"/>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kern w:val="2"/>
          <w:sz w:val="44"/>
          <w:szCs w:val="44"/>
          <w:lang w:val="en-US" w:eastAsia="zh-CN" w:bidi="ar-SA"/>
        </w:rPr>
      </w:pPr>
      <w:r>
        <w:rPr>
          <w:rFonts w:hint="eastAsia" w:ascii="方正小标宋简体" w:hAnsi="Calibri" w:eastAsia="方正小标宋简体" w:cs="Times New Roman"/>
          <w:kern w:val="2"/>
          <w:sz w:val="44"/>
          <w:szCs w:val="44"/>
          <w:lang w:val="en-US" w:eastAsia="zh-CN" w:bidi="ar-SA"/>
        </w:rPr>
        <w:t>关于印发《2021年台儿庄区高素质农民培育实施方案》的通知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各镇(街)党(工)委、政府(办事处)：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央、省、市委已将农民教育培训指标任务落实情况，纳入乡村振兴战略考核指标体系和粮食安全省长责任制考核指标体系，其中省、市对区镇(街)党政领导班子和领导干部推进乡村振兴战略的实绩考核，纳入山东省各市经济社会发展综合考核。农民教育培训作为综合考核内容，占有一定分值比重，超额完成培训任务，相应增加考核分值。各镇(街)党(工)委、政府(办事处)要高度重视该项工作，结合疫情防控工作实际，落实好培训任务指标等工作，把完成市、区级安排的年度高素质农民培育指标作为基本任务，确保按要求完成下达的培育任务，为推进农业农村现代化提供强有力的人力资源支撑。现将《台儿庄区2021年高素质农民培育工作实施方案》印发给你们，请结合实际，认真贯彻执行。</w:t>
      </w:r>
    </w:p>
    <w:p>
      <w:pPr>
        <w:pStyle w:val="2"/>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20" w:lineRule="exact"/>
        <w:ind w:leftChars="80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中共台儿庄区委农业农村委员会办公室</w:t>
      </w:r>
    </w:p>
    <w:p>
      <w:pPr>
        <w:pStyle w:val="2"/>
        <w:keepNext w:val="0"/>
        <w:keepLines w:val="0"/>
        <w:pageBreakBefore w:val="0"/>
        <w:widowControl w:val="0"/>
        <w:kinsoku/>
        <w:wordWrap/>
        <w:overflowPunct/>
        <w:topLinePunct w:val="0"/>
        <w:autoSpaceDE/>
        <w:autoSpaceDN/>
        <w:bidi w:val="0"/>
        <w:adjustRightInd/>
        <w:snapToGrid/>
        <w:spacing w:line="620" w:lineRule="exact"/>
        <w:ind w:leftChars="800"/>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2021年10月12日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Calibri" w:eastAsia="方正小标宋简体" w:cs="Times New Roman"/>
          <w:kern w:val="2"/>
          <w:sz w:val="44"/>
          <w:szCs w:val="44"/>
          <w:lang w:val="en-US" w:eastAsia="zh-CN" w:bidi="ar-SA"/>
        </w:rPr>
      </w:pPr>
      <w:r>
        <w:rPr>
          <w:rFonts w:hint="eastAsia" w:ascii="方正小标宋简体" w:hAnsi="Calibri" w:eastAsia="方正小标宋简体" w:cs="Times New Roman"/>
          <w:kern w:val="2"/>
          <w:sz w:val="44"/>
          <w:szCs w:val="44"/>
          <w:lang w:val="en-US" w:eastAsia="zh-CN" w:bidi="ar-SA"/>
        </w:rPr>
        <w:t>台儿庄区2021年高素质农民培育工作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kern w:val="2"/>
          <w:sz w:val="44"/>
          <w:szCs w:val="44"/>
          <w:lang w:val="en-US" w:eastAsia="zh-CN" w:bidi="ar-SA"/>
        </w:rPr>
      </w:pPr>
      <w:r>
        <w:rPr>
          <w:rFonts w:hint="eastAsia" w:ascii="方正小标宋简体" w:hAnsi="Calibri" w:eastAsia="方正小标宋简体" w:cs="Times New Roman"/>
          <w:kern w:val="2"/>
          <w:sz w:val="44"/>
          <w:szCs w:val="44"/>
          <w:lang w:val="en-US" w:eastAsia="zh-CN" w:bidi="ar-SA"/>
        </w:rPr>
        <w:t>实 施 方 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根据《关于印发2021年枣庄市高素质农民培育实施方案的通知》(枣农委办发(2021]3号)要求，结合我区实际，就做好今年高素质农民培育工作，特制定本方案。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一、总体思路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习近平新时代中国特色社会主义思想为指导，深入学习贯彻习近平总书记关于“三农”工作的重要论述和对山东工作的重要指示批示精神，立足新发展阶段，贯彻新发展理念，融入新发展格局，围绕“保供固安全、振兴畅循环”，按照“需求导向、产业主线、分层实施、全程培育”原则，突出抓重点、抓要害、抓落实,优化课程设置，创新培训方式，分层分类施教，推进技能培训与学历教育协同、提升能力与延伸服务衔接，统筹实施新型农业经营和服务主体能力提升、种养加能手技能培训、农村创新创业者培养、乡村治理及社会事业发展带头人培育和农村实用人才带头人示范培训等行动，加速培育壮大适应产业发展、乡村建设急需的高素质农民队伍，为打造乡村振兴齐鲁样板、推进农业农村现代化提供强有力的人力资源支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二、重点任务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围绕保供、衔接、建设、要害、改革等重点任务，以家庭农场经营者、农民合作社带头人为重点，加快培养各类乡村振兴带头人。紧紧围绕乡村振兴，以促进现代农业高质量发展为导向，以满足农民理念知识技能需求为核心，以提升培育质量效能为关键，紧密结合乡村振兴人才需求实际，在做好疫情防控的前提下，分层分类分模块培育专业种养加能手、骨干农机手、农业领军人才、高素质女农民、农村环卫与改厕、乡村治理及社会事业发展带头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三、任务工作安排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根据枣农委办发(2021]3号文件要求，台儿庄区承担207人的高素质农民培训任务指标，为更好提升产业效益促进农民增收，制订超指标完成219人培训名额。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(一）省级培训（省农广校承担）。</w:t>
      </w:r>
      <w:r>
        <w:rPr>
          <w:rFonts w:hint="eastAsia" w:ascii="仿宋_GB2312" w:hAnsi="仿宋_GB2312" w:eastAsia="仿宋_GB2312" w:cs="仿宋_GB2312"/>
          <w:kern w:val="2"/>
          <w:sz w:val="32"/>
          <w:szCs w:val="32"/>
          <w:lang w:val="en-US" w:eastAsia="zh-CN" w:bidi="ar-SA"/>
        </w:rPr>
        <w:t>培育任务19人，其中农村环卫与改厕5人、产业领军人才14人，由区农业农村局组织学员、省农广校(省农村科技教育培训中心)统一指导组织实施，费用标准为每人3000元。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(二)市级培训（市农广校承担）。</w:t>
      </w:r>
      <w:r>
        <w:rPr>
          <w:rFonts w:hint="eastAsia" w:ascii="仿宋_GB2312" w:hAnsi="仿宋_GB2312" w:eastAsia="仿宋_GB2312" w:cs="仿宋_GB2312"/>
          <w:kern w:val="2"/>
          <w:sz w:val="32"/>
          <w:szCs w:val="32"/>
          <w:lang w:val="en-US" w:eastAsia="zh-CN" w:bidi="ar-SA"/>
        </w:rPr>
        <w:t>农业领军人才15人、高素质女农民20人、乡村治理及社会事业发展带头人10人，共45人，由区农业农村局组织学员、市农广校统一指导组织实施，费用标准为每人3000元（市级财政负责）。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（三）专业种养加能手、骨干农机手专题培育计划。</w:t>
      </w:r>
      <w:r>
        <w:rPr>
          <w:rFonts w:hint="eastAsia" w:ascii="仿宋_GB2312" w:hAnsi="仿宋_GB2312" w:eastAsia="仿宋_GB2312" w:cs="仿宋_GB2312"/>
          <w:kern w:val="2"/>
          <w:sz w:val="32"/>
          <w:szCs w:val="32"/>
          <w:lang w:val="en-US" w:eastAsia="zh-CN" w:bidi="ar-SA"/>
        </w:rPr>
        <w:t>培育任务155人(含乡村振兴考核满分额外增加人数)，由区农业技术推广中心（农广校）组织培训，费用根据中央补助资金量和培育任务确定。</w:t>
      </w:r>
    </w:p>
    <w:p>
      <w:pPr>
        <w:pStyle w:val="2"/>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2021年高素质农民培训镇街任务分解表</w:t>
      </w:r>
    </w:p>
    <w:p>
      <w:pPr>
        <w:pStyle w:val="2"/>
        <w:rPr>
          <w:rFonts w:hint="eastAsia"/>
        </w:rPr>
      </w:pPr>
    </w:p>
    <w:tbl>
      <w:tblPr>
        <w:tblStyle w:val="6"/>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3"/>
        <w:gridCol w:w="812"/>
        <w:gridCol w:w="854"/>
        <w:gridCol w:w="869"/>
        <w:gridCol w:w="870"/>
        <w:gridCol w:w="1025"/>
        <w:gridCol w:w="1012"/>
        <w:gridCol w:w="1429"/>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203" w:type="dxa"/>
            <w:vMerge w:val="restart"/>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jc w:val="center"/>
              <mc:AlternateContent>
                <mc:Choice Requires="wpsCustomData">
                  <wpsCustomData:diagonalParaType/>
                </mc:Choice>
              </mc:AlternateContent>
              <w:rPr>
                <w:rFonts w:hint="eastAsia" w:eastAsiaTheme="minorEastAsia"/>
                <w:b/>
                <w:bCs/>
                <w:vertAlign w:val="baseline"/>
                <w:lang w:val="en-US" w:eastAsia="zh-CN"/>
              </w:rPr>
            </w:pPr>
            <w:r>
              <w:rPr>
                <w:rFonts w:hint="eastAsia"/>
                <w:b/>
                <w:bCs/>
                <w:vertAlign w:val="baseline"/>
                <w:lang w:val="en-US" w:eastAsia="zh-CN"/>
              </w:rPr>
              <w:t>镇街</w:t>
            </w:r>
          </w:p>
          <w:p>
            <w:pPr>
              <w:jc w:val="center"/>
              <w:rPr>
                <w:rFonts w:hint="eastAsia"/>
                <w:b/>
                <w:bCs/>
                <w:vertAlign w:val="baseline"/>
                <w:lang w:val="en-US" w:eastAsia="zh-CN"/>
              </w:rPr>
            </w:pPr>
            <w:r>
              <w:rPr>
                <w:rFonts w:hint="eastAsia"/>
                <w:b/>
                <w:bCs/>
                <w:vertAlign w:val="baseline"/>
                <w:lang w:val="en-US" w:eastAsia="zh-CN"/>
              </w:rPr>
              <w:t>类</w:t>
            </w:r>
          </w:p>
          <w:p>
            <w:pPr>
              <w:jc w:val="center"/>
              <w:rPr>
                <w:rFonts w:hint="eastAsia" w:eastAsiaTheme="minorEastAsia"/>
                <w:b/>
                <w:bCs/>
                <w:vertAlign w:val="baseline"/>
                <w:lang w:val="en-US" w:eastAsia="zh-CN"/>
              </w:rPr>
            </w:pPr>
            <w:r>
              <w:rPr>
                <w:rFonts w:hint="eastAsia"/>
                <w:b/>
                <w:bCs/>
                <w:vertAlign w:val="baseline"/>
                <w:lang w:val="en-US" w:eastAsia="zh-CN"/>
              </w:rPr>
              <w:t>别</w:t>
            </w:r>
          </w:p>
        </w:tc>
        <w:tc>
          <w:tcPr>
            <w:tcW w:w="812" w:type="dxa"/>
            <w:vMerge w:val="restart"/>
            <w:vAlign w:val="center"/>
          </w:tcPr>
          <w:p>
            <w:pPr>
              <w:jc w:val="center"/>
              <w:rPr>
                <w:rFonts w:hint="default"/>
                <w:b/>
                <w:bCs/>
                <w:sz w:val="16"/>
                <w:szCs w:val="18"/>
                <w:vertAlign w:val="baseline"/>
                <w:lang w:val="en-US" w:eastAsia="zh-CN"/>
              </w:rPr>
            </w:pPr>
            <w:r>
              <w:rPr>
                <w:rFonts w:hint="eastAsia"/>
                <w:b/>
                <w:bCs/>
                <w:sz w:val="16"/>
                <w:szCs w:val="18"/>
                <w:vertAlign w:val="baseline"/>
                <w:lang w:val="en-US" w:eastAsia="zh-CN"/>
              </w:rPr>
              <w:t>骨干农机手（55人）</w:t>
            </w:r>
          </w:p>
        </w:tc>
        <w:tc>
          <w:tcPr>
            <w:tcW w:w="854" w:type="dxa"/>
            <w:vMerge w:val="restart"/>
            <w:vAlign w:val="center"/>
          </w:tcPr>
          <w:p>
            <w:pPr>
              <w:jc w:val="center"/>
              <w:rPr>
                <w:rFonts w:hint="default"/>
                <w:b/>
                <w:bCs/>
                <w:sz w:val="16"/>
                <w:szCs w:val="18"/>
                <w:vertAlign w:val="baseline"/>
                <w:lang w:val="en-US" w:eastAsia="zh-CN"/>
              </w:rPr>
            </w:pPr>
            <w:r>
              <w:rPr>
                <w:rFonts w:hint="eastAsia"/>
                <w:b/>
                <w:bCs/>
                <w:sz w:val="16"/>
                <w:szCs w:val="18"/>
                <w:vertAlign w:val="baseline"/>
                <w:lang w:val="en-US" w:eastAsia="zh-CN"/>
              </w:rPr>
              <w:t>“种养加”能手（100人）</w:t>
            </w:r>
          </w:p>
        </w:tc>
        <w:tc>
          <w:tcPr>
            <w:tcW w:w="1739" w:type="dxa"/>
            <w:gridSpan w:val="2"/>
            <w:vAlign w:val="center"/>
          </w:tcPr>
          <w:p>
            <w:pPr>
              <w:jc w:val="center"/>
              <w:rPr>
                <w:rFonts w:hint="eastAsia"/>
                <w:b/>
                <w:bCs/>
                <w:sz w:val="16"/>
                <w:szCs w:val="18"/>
                <w:vertAlign w:val="baseline"/>
                <w:lang w:val="en-US" w:eastAsia="zh-CN"/>
              </w:rPr>
            </w:pPr>
            <w:r>
              <w:rPr>
                <w:rFonts w:hint="eastAsia"/>
                <w:b/>
                <w:bCs/>
                <w:sz w:val="16"/>
                <w:szCs w:val="18"/>
                <w:vertAlign w:val="baseline"/>
                <w:lang w:val="en-US" w:eastAsia="zh-CN"/>
              </w:rPr>
              <w:t>省级（19人）</w:t>
            </w:r>
          </w:p>
        </w:tc>
        <w:tc>
          <w:tcPr>
            <w:tcW w:w="3466" w:type="dxa"/>
            <w:gridSpan w:val="3"/>
            <w:vAlign w:val="center"/>
          </w:tcPr>
          <w:p>
            <w:pPr>
              <w:jc w:val="center"/>
              <w:rPr>
                <w:rFonts w:hint="default"/>
                <w:b/>
                <w:bCs/>
                <w:sz w:val="16"/>
                <w:szCs w:val="18"/>
                <w:vertAlign w:val="baseline"/>
                <w:lang w:val="en-US" w:eastAsia="zh-CN"/>
              </w:rPr>
            </w:pPr>
            <w:r>
              <w:rPr>
                <w:rFonts w:hint="eastAsia"/>
                <w:b/>
                <w:bCs/>
                <w:sz w:val="16"/>
                <w:szCs w:val="18"/>
                <w:vertAlign w:val="baseline"/>
                <w:lang w:val="en-US" w:eastAsia="zh-CN"/>
              </w:rPr>
              <w:t>市级（45人）</w:t>
            </w:r>
          </w:p>
        </w:tc>
        <w:tc>
          <w:tcPr>
            <w:tcW w:w="703" w:type="dxa"/>
            <w:vMerge w:val="restart"/>
            <w:vAlign w:val="center"/>
          </w:tcPr>
          <w:p>
            <w:pPr>
              <w:jc w:val="center"/>
              <w:rPr>
                <w:rFonts w:hint="eastAsia"/>
                <w:b/>
                <w:bCs/>
                <w:vertAlign w:val="baseline"/>
                <w:lang w:val="en-US" w:eastAsia="zh-CN"/>
              </w:rPr>
            </w:pPr>
            <w:r>
              <w:rPr>
                <w:rFonts w:hint="eastAsia"/>
                <w:b/>
                <w:bCs/>
                <w:sz w:val="16"/>
                <w:szCs w:val="18"/>
                <w:vertAlign w:val="baseli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1203" w:type="dxa"/>
            <w:vMerge w:val="continue"/>
            <w:vAlign w:val="center"/>
          </w:tcPr>
          <w:p>
            <w:pPr>
              <w:jc w:val="center"/>
              <w:rPr>
                <w:vertAlign w:val="baseline"/>
              </w:rPr>
            </w:pPr>
          </w:p>
        </w:tc>
        <w:tc>
          <w:tcPr>
            <w:tcW w:w="812" w:type="dxa"/>
            <w:vMerge w:val="continue"/>
            <w:vAlign w:val="center"/>
          </w:tcPr>
          <w:p>
            <w:pPr>
              <w:jc w:val="center"/>
              <w:rPr>
                <w:rFonts w:hint="eastAsia"/>
                <w:b/>
                <w:bCs/>
                <w:vertAlign w:val="baseline"/>
                <w:lang w:val="en-US" w:eastAsia="zh-CN"/>
              </w:rPr>
            </w:pPr>
          </w:p>
        </w:tc>
        <w:tc>
          <w:tcPr>
            <w:tcW w:w="854" w:type="dxa"/>
            <w:vMerge w:val="continue"/>
            <w:vAlign w:val="center"/>
          </w:tcPr>
          <w:p>
            <w:pPr>
              <w:jc w:val="center"/>
              <w:rPr>
                <w:rFonts w:hint="eastAsia"/>
                <w:b/>
                <w:bCs/>
                <w:vertAlign w:val="baseline"/>
                <w:lang w:val="en-US" w:eastAsia="zh-CN"/>
              </w:rPr>
            </w:pPr>
          </w:p>
        </w:tc>
        <w:tc>
          <w:tcPr>
            <w:tcW w:w="869" w:type="dxa"/>
            <w:vAlign w:val="center"/>
          </w:tcPr>
          <w:p>
            <w:pPr>
              <w:jc w:val="center"/>
              <w:rPr>
                <w:rFonts w:hint="default"/>
                <w:b/>
                <w:bCs/>
                <w:sz w:val="16"/>
                <w:szCs w:val="18"/>
                <w:vertAlign w:val="baseline"/>
                <w:lang w:val="en-US" w:eastAsia="zh-CN"/>
              </w:rPr>
            </w:pPr>
            <w:r>
              <w:rPr>
                <w:rFonts w:hint="eastAsia"/>
                <w:b/>
                <w:bCs/>
                <w:sz w:val="16"/>
                <w:szCs w:val="18"/>
                <w:vertAlign w:val="baseline"/>
                <w:lang w:val="en-US" w:eastAsia="zh-CN"/>
              </w:rPr>
              <w:t>农村环卫与改厕（5人）</w:t>
            </w:r>
          </w:p>
        </w:tc>
        <w:tc>
          <w:tcPr>
            <w:tcW w:w="870" w:type="dxa"/>
            <w:vAlign w:val="center"/>
          </w:tcPr>
          <w:p>
            <w:pPr>
              <w:jc w:val="center"/>
              <w:rPr>
                <w:rFonts w:hint="eastAsia"/>
                <w:b/>
                <w:bCs/>
                <w:sz w:val="16"/>
                <w:szCs w:val="18"/>
                <w:vertAlign w:val="baseline"/>
                <w:lang w:val="en-US" w:eastAsia="zh-CN"/>
              </w:rPr>
            </w:pPr>
            <w:r>
              <w:rPr>
                <w:rFonts w:hint="eastAsia"/>
                <w:b/>
                <w:bCs/>
                <w:sz w:val="16"/>
                <w:szCs w:val="18"/>
                <w:vertAlign w:val="baseline"/>
                <w:lang w:val="en-US" w:eastAsia="zh-CN"/>
              </w:rPr>
              <w:t>产业领军人才（14人）</w:t>
            </w:r>
          </w:p>
        </w:tc>
        <w:tc>
          <w:tcPr>
            <w:tcW w:w="1025" w:type="dxa"/>
            <w:vAlign w:val="center"/>
          </w:tcPr>
          <w:p>
            <w:pPr>
              <w:jc w:val="center"/>
              <w:rPr>
                <w:rFonts w:hint="eastAsia"/>
                <w:b/>
                <w:bCs/>
                <w:sz w:val="16"/>
                <w:szCs w:val="18"/>
                <w:vertAlign w:val="baseline"/>
                <w:lang w:val="en-US" w:eastAsia="zh-CN"/>
              </w:rPr>
            </w:pPr>
            <w:r>
              <w:rPr>
                <w:rFonts w:hint="eastAsia"/>
                <w:b/>
                <w:bCs/>
                <w:sz w:val="16"/>
                <w:szCs w:val="18"/>
                <w:vertAlign w:val="baseline"/>
                <w:lang w:val="en-US" w:eastAsia="zh-CN"/>
              </w:rPr>
              <w:t>农业领军人才（15））</w:t>
            </w:r>
          </w:p>
        </w:tc>
        <w:tc>
          <w:tcPr>
            <w:tcW w:w="1012" w:type="dxa"/>
            <w:vAlign w:val="center"/>
          </w:tcPr>
          <w:p>
            <w:pPr>
              <w:jc w:val="center"/>
              <w:rPr>
                <w:rFonts w:hint="eastAsia"/>
                <w:b/>
                <w:bCs/>
                <w:sz w:val="16"/>
                <w:szCs w:val="18"/>
                <w:vertAlign w:val="baseline"/>
                <w:lang w:val="en-US" w:eastAsia="zh-CN"/>
              </w:rPr>
            </w:pPr>
            <w:r>
              <w:rPr>
                <w:rFonts w:hint="eastAsia"/>
                <w:b/>
                <w:bCs/>
                <w:sz w:val="16"/>
                <w:szCs w:val="18"/>
                <w:vertAlign w:val="baseline"/>
                <w:lang w:val="en-US" w:eastAsia="zh-CN"/>
              </w:rPr>
              <w:t>高素质女农民（20））</w:t>
            </w:r>
          </w:p>
        </w:tc>
        <w:tc>
          <w:tcPr>
            <w:tcW w:w="1429" w:type="dxa"/>
            <w:vAlign w:val="center"/>
          </w:tcPr>
          <w:p>
            <w:pPr>
              <w:jc w:val="center"/>
              <w:rPr>
                <w:rFonts w:hint="eastAsia"/>
                <w:b/>
                <w:bCs/>
                <w:sz w:val="16"/>
                <w:szCs w:val="18"/>
                <w:vertAlign w:val="baseline"/>
                <w:lang w:val="en-US" w:eastAsia="zh-CN"/>
              </w:rPr>
            </w:pPr>
            <w:r>
              <w:rPr>
                <w:rFonts w:hint="eastAsia"/>
                <w:b/>
                <w:bCs/>
                <w:sz w:val="16"/>
                <w:szCs w:val="18"/>
                <w:vertAlign w:val="baseline"/>
                <w:lang w:val="en-US" w:eastAsia="zh-CN"/>
              </w:rPr>
              <w:t>乡村治理及社会事业发展带头人（10人）</w:t>
            </w:r>
          </w:p>
        </w:tc>
        <w:tc>
          <w:tcPr>
            <w:tcW w:w="703" w:type="dxa"/>
            <w:vMerge w:val="continue"/>
            <w:vAlign w:val="center"/>
          </w:tcPr>
          <w:p>
            <w:pPr>
              <w:jc w:val="center"/>
              <w:rPr>
                <w:rFonts w:hint="eastAsia"/>
                <w:b/>
                <w:bCs/>
                <w:sz w:val="16"/>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jc w:val="center"/>
        </w:trPr>
        <w:tc>
          <w:tcPr>
            <w:tcW w:w="12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张山子镇</w:t>
            </w:r>
          </w:p>
        </w:tc>
        <w:tc>
          <w:tcPr>
            <w:tcW w:w="8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5</w:t>
            </w:r>
          </w:p>
        </w:tc>
        <w:tc>
          <w:tcPr>
            <w:tcW w:w="854"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23</w:t>
            </w:r>
          </w:p>
        </w:tc>
        <w:tc>
          <w:tcPr>
            <w:tcW w:w="86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w:t>
            </w:r>
          </w:p>
        </w:tc>
        <w:tc>
          <w:tcPr>
            <w:tcW w:w="870"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w:t>
            </w:r>
          </w:p>
        </w:tc>
        <w:tc>
          <w:tcPr>
            <w:tcW w:w="1025"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3</w:t>
            </w:r>
          </w:p>
        </w:tc>
        <w:tc>
          <w:tcPr>
            <w:tcW w:w="10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3</w:t>
            </w:r>
          </w:p>
        </w:tc>
        <w:tc>
          <w:tcPr>
            <w:tcW w:w="142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w:t>
            </w:r>
          </w:p>
        </w:tc>
        <w:tc>
          <w:tcPr>
            <w:tcW w:w="7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jc w:val="center"/>
        </w:trPr>
        <w:tc>
          <w:tcPr>
            <w:tcW w:w="12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涧头集镇</w:t>
            </w:r>
          </w:p>
        </w:tc>
        <w:tc>
          <w:tcPr>
            <w:tcW w:w="8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9</w:t>
            </w:r>
          </w:p>
        </w:tc>
        <w:tc>
          <w:tcPr>
            <w:tcW w:w="854"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23</w:t>
            </w:r>
          </w:p>
        </w:tc>
        <w:tc>
          <w:tcPr>
            <w:tcW w:w="86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w:t>
            </w:r>
          </w:p>
        </w:tc>
        <w:tc>
          <w:tcPr>
            <w:tcW w:w="870"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3</w:t>
            </w:r>
          </w:p>
        </w:tc>
        <w:tc>
          <w:tcPr>
            <w:tcW w:w="1025"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3</w:t>
            </w:r>
          </w:p>
        </w:tc>
        <w:tc>
          <w:tcPr>
            <w:tcW w:w="10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4</w:t>
            </w:r>
          </w:p>
        </w:tc>
        <w:tc>
          <w:tcPr>
            <w:tcW w:w="142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w:t>
            </w:r>
          </w:p>
        </w:tc>
        <w:tc>
          <w:tcPr>
            <w:tcW w:w="7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fldChar w:fldCharType="begin"/>
            </w:r>
            <w:r>
              <w:rPr>
                <w:rFonts w:hint="eastAsia" w:ascii="仿宋_GB2312" w:hAnsi="仿宋_GB2312" w:eastAsia="仿宋_GB2312" w:cs="仿宋_GB2312"/>
                <w:sz w:val="24"/>
                <w:szCs w:val="28"/>
                <w:vertAlign w:val="baseline"/>
                <w:lang w:val="en-US" w:eastAsia="zh-CN"/>
              </w:rPr>
              <w:instrText xml:space="preserve"> = sum(B4:H4) \* MERGEFORMAT </w:instrText>
            </w:r>
            <w:r>
              <w:rPr>
                <w:rFonts w:hint="eastAsia" w:ascii="仿宋_GB2312" w:hAnsi="仿宋_GB2312" w:eastAsia="仿宋_GB2312" w:cs="仿宋_GB2312"/>
                <w:sz w:val="24"/>
                <w:szCs w:val="28"/>
                <w:vertAlign w:val="baseline"/>
                <w:lang w:val="en-US" w:eastAsia="zh-CN"/>
              </w:rPr>
              <w:fldChar w:fldCharType="separate"/>
            </w:r>
            <w:r>
              <w:rPr>
                <w:rFonts w:hint="eastAsia" w:ascii="仿宋_GB2312" w:hAnsi="仿宋_GB2312" w:eastAsia="仿宋_GB2312" w:cs="仿宋_GB2312"/>
                <w:sz w:val="24"/>
                <w:szCs w:val="28"/>
                <w:vertAlign w:val="baseline"/>
                <w:lang w:val="en-US" w:eastAsia="zh-CN"/>
              </w:rPr>
              <w:t>45</w:t>
            </w:r>
            <w:r>
              <w:rPr>
                <w:rFonts w:hint="eastAsia" w:ascii="仿宋_GB2312" w:hAnsi="仿宋_GB2312" w:eastAsia="仿宋_GB2312" w:cs="仿宋_GB2312"/>
                <w:sz w:val="24"/>
                <w:szCs w:val="28"/>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jc w:val="center"/>
        </w:trPr>
        <w:tc>
          <w:tcPr>
            <w:tcW w:w="12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运办</w:t>
            </w:r>
          </w:p>
        </w:tc>
        <w:tc>
          <w:tcPr>
            <w:tcW w:w="8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0</w:t>
            </w:r>
          </w:p>
        </w:tc>
        <w:tc>
          <w:tcPr>
            <w:tcW w:w="854"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4</w:t>
            </w:r>
          </w:p>
        </w:tc>
        <w:tc>
          <w:tcPr>
            <w:tcW w:w="86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0</w:t>
            </w:r>
          </w:p>
        </w:tc>
        <w:tc>
          <w:tcPr>
            <w:tcW w:w="870"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w:t>
            </w:r>
          </w:p>
        </w:tc>
        <w:tc>
          <w:tcPr>
            <w:tcW w:w="1025"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w:t>
            </w:r>
          </w:p>
        </w:tc>
        <w:tc>
          <w:tcPr>
            <w:tcW w:w="10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w:t>
            </w:r>
          </w:p>
        </w:tc>
        <w:tc>
          <w:tcPr>
            <w:tcW w:w="142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w:t>
            </w:r>
          </w:p>
        </w:tc>
        <w:tc>
          <w:tcPr>
            <w:tcW w:w="7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fldChar w:fldCharType="begin"/>
            </w:r>
            <w:r>
              <w:rPr>
                <w:rFonts w:hint="eastAsia" w:ascii="仿宋_GB2312" w:hAnsi="仿宋_GB2312" w:eastAsia="仿宋_GB2312" w:cs="仿宋_GB2312"/>
                <w:sz w:val="24"/>
                <w:szCs w:val="28"/>
                <w:vertAlign w:val="baseline"/>
                <w:lang w:val="en-US" w:eastAsia="zh-CN"/>
              </w:rPr>
              <w:instrText xml:space="preserve"> = sum(B5:H5) \* MERGEFORMAT </w:instrText>
            </w:r>
            <w:r>
              <w:rPr>
                <w:rFonts w:hint="eastAsia" w:ascii="仿宋_GB2312" w:hAnsi="仿宋_GB2312" w:eastAsia="仿宋_GB2312" w:cs="仿宋_GB2312"/>
                <w:sz w:val="24"/>
                <w:szCs w:val="28"/>
                <w:vertAlign w:val="baseline"/>
                <w:lang w:val="en-US" w:eastAsia="zh-CN"/>
              </w:rPr>
              <w:fldChar w:fldCharType="separate"/>
            </w:r>
            <w:r>
              <w:rPr>
                <w:rFonts w:hint="eastAsia" w:ascii="仿宋_GB2312" w:hAnsi="仿宋_GB2312" w:eastAsia="仿宋_GB2312" w:cs="仿宋_GB2312"/>
                <w:sz w:val="24"/>
                <w:szCs w:val="28"/>
                <w:vertAlign w:val="baseline"/>
                <w:lang w:val="en-US" w:eastAsia="zh-CN"/>
              </w:rPr>
              <w:t>9</w:t>
            </w:r>
            <w:r>
              <w:rPr>
                <w:rFonts w:hint="eastAsia" w:ascii="仿宋_GB2312" w:hAnsi="仿宋_GB2312" w:eastAsia="仿宋_GB2312" w:cs="仿宋_GB2312"/>
                <w:sz w:val="24"/>
                <w:szCs w:val="28"/>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jc w:val="center"/>
        </w:trPr>
        <w:tc>
          <w:tcPr>
            <w:tcW w:w="12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邳庄镇</w:t>
            </w:r>
          </w:p>
        </w:tc>
        <w:tc>
          <w:tcPr>
            <w:tcW w:w="8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8</w:t>
            </w:r>
          </w:p>
        </w:tc>
        <w:tc>
          <w:tcPr>
            <w:tcW w:w="854"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11</w:t>
            </w:r>
          </w:p>
        </w:tc>
        <w:tc>
          <w:tcPr>
            <w:tcW w:w="86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w:t>
            </w:r>
          </w:p>
        </w:tc>
        <w:tc>
          <w:tcPr>
            <w:tcW w:w="870"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w:t>
            </w:r>
          </w:p>
        </w:tc>
        <w:tc>
          <w:tcPr>
            <w:tcW w:w="1025"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w:t>
            </w:r>
          </w:p>
        </w:tc>
        <w:tc>
          <w:tcPr>
            <w:tcW w:w="10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3</w:t>
            </w:r>
          </w:p>
        </w:tc>
        <w:tc>
          <w:tcPr>
            <w:tcW w:w="142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w:t>
            </w:r>
          </w:p>
        </w:tc>
        <w:tc>
          <w:tcPr>
            <w:tcW w:w="7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fldChar w:fldCharType="begin"/>
            </w:r>
            <w:r>
              <w:rPr>
                <w:rFonts w:hint="eastAsia" w:ascii="仿宋_GB2312" w:hAnsi="仿宋_GB2312" w:eastAsia="仿宋_GB2312" w:cs="仿宋_GB2312"/>
                <w:sz w:val="24"/>
                <w:szCs w:val="28"/>
                <w:vertAlign w:val="baseline"/>
                <w:lang w:val="en-US" w:eastAsia="zh-CN"/>
              </w:rPr>
              <w:instrText xml:space="preserve"> = sum(B6:H6) \* MERGEFORMAT </w:instrText>
            </w:r>
            <w:r>
              <w:rPr>
                <w:rFonts w:hint="eastAsia" w:ascii="仿宋_GB2312" w:hAnsi="仿宋_GB2312" w:eastAsia="仿宋_GB2312" w:cs="仿宋_GB2312"/>
                <w:sz w:val="24"/>
                <w:szCs w:val="28"/>
                <w:vertAlign w:val="baseline"/>
                <w:lang w:val="en-US" w:eastAsia="zh-CN"/>
              </w:rPr>
              <w:fldChar w:fldCharType="separate"/>
            </w:r>
            <w:r>
              <w:rPr>
                <w:rFonts w:hint="eastAsia" w:ascii="仿宋_GB2312" w:hAnsi="仿宋_GB2312" w:eastAsia="仿宋_GB2312" w:cs="仿宋_GB2312"/>
                <w:sz w:val="24"/>
                <w:szCs w:val="28"/>
                <w:vertAlign w:val="baseline"/>
                <w:lang w:val="en-US" w:eastAsia="zh-CN"/>
              </w:rPr>
              <w:t>28</w:t>
            </w:r>
            <w:r>
              <w:rPr>
                <w:rFonts w:hint="eastAsia" w:ascii="仿宋_GB2312" w:hAnsi="仿宋_GB2312" w:eastAsia="仿宋_GB2312" w:cs="仿宋_GB2312"/>
                <w:sz w:val="24"/>
                <w:szCs w:val="28"/>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jc w:val="center"/>
        </w:trPr>
        <w:tc>
          <w:tcPr>
            <w:tcW w:w="12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泥沟镇</w:t>
            </w:r>
          </w:p>
        </w:tc>
        <w:tc>
          <w:tcPr>
            <w:tcW w:w="8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15</w:t>
            </w:r>
          </w:p>
        </w:tc>
        <w:tc>
          <w:tcPr>
            <w:tcW w:w="854"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21</w:t>
            </w:r>
          </w:p>
        </w:tc>
        <w:tc>
          <w:tcPr>
            <w:tcW w:w="86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w:t>
            </w:r>
          </w:p>
        </w:tc>
        <w:tc>
          <w:tcPr>
            <w:tcW w:w="870"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3</w:t>
            </w:r>
          </w:p>
        </w:tc>
        <w:tc>
          <w:tcPr>
            <w:tcW w:w="1025"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3</w:t>
            </w:r>
          </w:p>
        </w:tc>
        <w:tc>
          <w:tcPr>
            <w:tcW w:w="10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4</w:t>
            </w:r>
          </w:p>
        </w:tc>
        <w:tc>
          <w:tcPr>
            <w:tcW w:w="142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w:t>
            </w:r>
          </w:p>
        </w:tc>
        <w:tc>
          <w:tcPr>
            <w:tcW w:w="7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fldChar w:fldCharType="begin"/>
            </w:r>
            <w:r>
              <w:rPr>
                <w:rFonts w:hint="eastAsia" w:ascii="仿宋_GB2312" w:hAnsi="仿宋_GB2312" w:eastAsia="仿宋_GB2312" w:cs="仿宋_GB2312"/>
                <w:sz w:val="24"/>
                <w:szCs w:val="28"/>
                <w:vertAlign w:val="baseline"/>
                <w:lang w:val="en-US" w:eastAsia="zh-CN"/>
              </w:rPr>
              <w:instrText xml:space="preserve"> = sum(B7:H7) \* MERGEFORMAT </w:instrText>
            </w:r>
            <w:r>
              <w:rPr>
                <w:rFonts w:hint="eastAsia" w:ascii="仿宋_GB2312" w:hAnsi="仿宋_GB2312" w:eastAsia="仿宋_GB2312" w:cs="仿宋_GB2312"/>
                <w:sz w:val="24"/>
                <w:szCs w:val="28"/>
                <w:vertAlign w:val="baseline"/>
                <w:lang w:val="en-US" w:eastAsia="zh-CN"/>
              </w:rPr>
              <w:fldChar w:fldCharType="separate"/>
            </w:r>
            <w:r>
              <w:rPr>
                <w:rFonts w:hint="eastAsia" w:ascii="仿宋_GB2312" w:hAnsi="仿宋_GB2312" w:eastAsia="仿宋_GB2312" w:cs="仿宋_GB2312"/>
                <w:sz w:val="24"/>
                <w:szCs w:val="28"/>
                <w:vertAlign w:val="baseline"/>
                <w:lang w:val="en-US" w:eastAsia="zh-CN"/>
              </w:rPr>
              <w:t>49</w:t>
            </w:r>
            <w:r>
              <w:rPr>
                <w:rFonts w:hint="eastAsia" w:ascii="仿宋_GB2312" w:hAnsi="仿宋_GB2312" w:eastAsia="仿宋_GB2312" w:cs="仿宋_GB2312"/>
                <w:sz w:val="24"/>
                <w:szCs w:val="28"/>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jc w:val="center"/>
        </w:trPr>
        <w:tc>
          <w:tcPr>
            <w:tcW w:w="12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马兰屯镇</w:t>
            </w:r>
          </w:p>
        </w:tc>
        <w:tc>
          <w:tcPr>
            <w:tcW w:w="8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18</w:t>
            </w:r>
          </w:p>
        </w:tc>
        <w:tc>
          <w:tcPr>
            <w:tcW w:w="854"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18</w:t>
            </w:r>
          </w:p>
        </w:tc>
        <w:tc>
          <w:tcPr>
            <w:tcW w:w="86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w:t>
            </w:r>
          </w:p>
        </w:tc>
        <w:tc>
          <w:tcPr>
            <w:tcW w:w="870"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3</w:t>
            </w:r>
          </w:p>
        </w:tc>
        <w:tc>
          <w:tcPr>
            <w:tcW w:w="1025"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3</w:t>
            </w:r>
          </w:p>
        </w:tc>
        <w:tc>
          <w:tcPr>
            <w:tcW w:w="10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4</w:t>
            </w:r>
          </w:p>
        </w:tc>
        <w:tc>
          <w:tcPr>
            <w:tcW w:w="142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w:t>
            </w:r>
          </w:p>
        </w:tc>
        <w:tc>
          <w:tcPr>
            <w:tcW w:w="7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49</w:t>
            </w:r>
            <w:r>
              <w:rPr>
                <w:rFonts w:hint="eastAsia" w:ascii="仿宋_GB2312" w:hAnsi="仿宋_GB2312" w:eastAsia="仿宋_GB2312" w:cs="仿宋_GB2312"/>
                <w:sz w:val="24"/>
                <w:szCs w:val="28"/>
                <w:vertAlign w:val="baseline"/>
                <w:lang w:val="en-US" w:eastAsia="zh-CN"/>
              </w:rPr>
              <w:fldChar w:fldCharType="begin"/>
            </w:r>
            <w:r>
              <w:rPr>
                <w:rFonts w:hint="eastAsia" w:ascii="仿宋_GB2312" w:hAnsi="仿宋_GB2312" w:eastAsia="仿宋_GB2312" w:cs="仿宋_GB2312"/>
                <w:sz w:val="24"/>
                <w:szCs w:val="28"/>
                <w:vertAlign w:val="baseline"/>
                <w:lang w:val="en-US" w:eastAsia="zh-CN"/>
              </w:rPr>
              <w:instrText xml:space="preserve"> = sum(B8:H8) \* MERGEFORMAT </w:instrText>
            </w:r>
            <w:r>
              <w:rPr>
                <w:rFonts w:hint="eastAsia" w:ascii="仿宋_GB2312" w:hAnsi="仿宋_GB2312" w:eastAsia="仿宋_GB2312" w:cs="仿宋_GB2312"/>
                <w:sz w:val="24"/>
                <w:szCs w:val="28"/>
                <w:vertAlign w:val="baseline"/>
                <w:lang w:val="en-US" w:eastAsia="zh-CN"/>
              </w:rPr>
              <w:fldChar w:fldCharType="separate"/>
            </w:r>
            <w:r>
              <w:rPr>
                <w:rFonts w:hint="eastAsia" w:ascii="仿宋_GB2312" w:hAnsi="仿宋_GB2312" w:eastAsia="仿宋_GB2312" w:cs="仿宋_GB2312"/>
                <w:sz w:val="24"/>
                <w:szCs w:val="28"/>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atLeast"/>
          <w:jc w:val="center"/>
        </w:trPr>
        <w:tc>
          <w:tcPr>
            <w:tcW w:w="1203" w:type="dxa"/>
            <w:vAlign w:val="center"/>
          </w:tcPr>
          <w:p>
            <w:pPr>
              <w:jc w:val="center"/>
              <w:rPr>
                <w:rFonts w:hint="eastAsia" w:ascii="仿宋_GB2312" w:hAnsi="仿宋_GB2312" w:eastAsia="仿宋_GB2312" w:cs="仿宋_GB2312"/>
                <w:sz w:val="24"/>
                <w:szCs w:val="28"/>
                <w:vertAlign w:val="baseline"/>
                <w:lang w:eastAsia="zh-CN"/>
              </w:rPr>
            </w:pPr>
            <w:r>
              <w:rPr>
                <w:rFonts w:hint="eastAsia" w:ascii="仿宋_GB2312" w:hAnsi="仿宋_GB2312" w:eastAsia="仿宋_GB2312" w:cs="仿宋_GB2312"/>
                <w:sz w:val="24"/>
                <w:szCs w:val="28"/>
                <w:vertAlign w:val="baseline"/>
                <w:lang w:eastAsia="zh-CN"/>
              </w:rPr>
              <w:t>合计</w:t>
            </w:r>
          </w:p>
        </w:tc>
        <w:tc>
          <w:tcPr>
            <w:tcW w:w="8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55</w:t>
            </w:r>
          </w:p>
        </w:tc>
        <w:tc>
          <w:tcPr>
            <w:tcW w:w="854"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100</w:t>
            </w:r>
          </w:p>
        </w:tc>
        <w:tc>
          <w:tcPr>
            <w:tcW w:w="86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5</w:t>
            </w:r>
          </w:p>
        </w:tc>
        <w:tc>
          <w:tcPr>
            <w:tcW w:w="870"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fldChar w:fldCharType="begin"/>
            </w:r>
            <w:r>
              <w:rPr>
                <w:rFonts w:hint="eastAsia" w:ascii="仿宋_GB2312" w:hAnsi="仿宋_GB2312" w:eastAsia="仿宋_GB2312" w:cs="仿宋_GB2312"/>
                <w:sz w:val="24"/>
                <w:szCs w:val="28"/>
                <w:vertAlign w:val="baseline"/>
                <w:lang w:val="en-US" w:eastAsia="zh-CN"/>
              </w:rPr>
              <w:instrText xml:space="preserve"> = sum(E3:E8) \* MERGEFORMAT </w:instrText>
            </w:r>
            <w:r>
              <w:rPr>
                <w:rFonts w:hint="eastAsia" w:ascii="仿宋_GB2312" w:hAnsi="仿宋_GB2312" w:eastAsia="仿宋_GB2312" w:cs="仿宋_GB2312"/>
                <w:sz w:val="24"/>
                <w:szCs w:val="28"/>
                <w:vertAlign w:val="baseline"/>
                <w:lang w:val="en-US" w:eastAsia="zh-CN"/>
              </w:rPr>
              <w:fldChar w:fldCharType="separate"/>
            </w:r>
            <w:r>
              <w:rPr>
                <w:rFonts w:hint="eastAsia" w:ascii="仿宋_GB2312" w:hAnsi="仿宋_GB2312" w:eastAsia="仿宋_GB2312" w:cs="仿宋_GB2312"/>
                <w:sz w:val="24"/>
                <w:szCs w:val="28"/>
                <w:vertAlign w:val="baseline"/>
                <w:lang w:val="en-US" w:eastAsia="zh-CN"/>
              </w:rPr>
              <w:t>14</w:t>
            </w:r>
            <w:r>
              <w:rPr>
                <w:rFonts w:hint="eastAsia" w:ascii="仿宋_GB2312" w:hAnsi="仿宋_GB2312" w:eastAsia="仿宋_GB2312" w:cs="仿宋_GB2312"/>
                <w:sz w:val="24"/>
                <w:szCs w:val="28"/>
                <w:vertAlign w:val="baseline"/>
                <w:lang w:val="en-US" w:eastAsia="zh-CN"/>
              </w:rPr>
              <w:fldChar w:fldCharType="end"/>
            </w:r>
          </w:p>
        </w:tc>
        <w:tc>
          <w:tcPr>
            <w:tcW w:w="1025"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15</w:t>
            </w:r>
          </w:p>
        </w:tc>
        <w:tc>
          <w:tcPr>
            <w:tcW w:w="1012"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20</w:t>
            </w:r>
          </w:p>
        </w:tc>
        <w:tc>
          <w:tcPr>
            <w:tcW w:w="1429"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10</w:t>
            </w:r>
          </w:p>
        </w:tc>
        <w:tc>
          <w:tcPr>
            <w:tcW w:w="703" w:type="dxa"/>
            <w:vAlign w:val="center"/>
          </w:tcPr>
          <w:p>
            <w:pPr>
              <w:jc w:val="center"/>
              <w:rPr>
                <w:rFonts w:hint="eastAsia" w:ascii="仿宋_GB2312" w:hAnsi="仿宋_GB2312" w:eastAsia="仿宋_GB2312" w:cs="仿宋_GB2312"/>
                <w:sz w:val="24"/>
                <w:szCs w:val="28"/>
                <w:vertAlign w:val="baseline"/>
                <w:lang w:val="en-US" w:eastAsia="zh-CN"/>
              </w:rPr>
            </w:pPr>
            <w:r>
              <w:rPr>
                <w:rFonts w:hint="eastAsia" w:ascii="仿宋_GB2312" w:hAnsi="仿宋_GB2312" w:eastAsia="仿宋_GB2312" w:cs="仿宋_GB2312"/>
                <w:sz w:val="24"/>
                <w:szCs w:val="28"/>
                <w:vertAlign w:val="baseline"/>
                <w:lang w:val="en-US" w:eastAsia="zh-CN"/>
              </w:rPr>
              <w:t>219</w:t>
            </w:r>
            <w:r>
              <w:rPr>
                <w:rFonts w:hint="eastAsia" w:ascii="仿宋_GB2312" w:hAnsi="仿宋_GB2312" w:eastAsia="仿宋_GB2312" w:cs="仿宋_GB2312"/>
                <w:sz w:val="24"/>
                <w:szCs w:val="28"/>
                <w:vertAlign w:val="baseline"/>
                <w:lang w:val="en-US" w:eastAsia="zh-CN"/>
              </w:rPr>
              <w:fldChar w:fldCharType="begin"/>
            </w:r>
            <w:r>
              <w:rPr>
                <w:rFonts w:hint="eastAsia" w:ascii="仿宋_GB2312" w:hAnsi="仿宋_GB2312" w:eastAsia="仿宋_GB2312" w:cs="仿宋_GB2312"/>
                <w:sz w:val="24"/>
                <w:szCs w:val="28"/>
                <w:vertAlign w:val="baseline"/>
                <w:lang w:val="en-US" w:eastAsia="zh-CN"/>
              </w:rPr>
              <w:instrText xml:space="preserve"> = sum(B9:H9) \* MERGEFORMAT </w:instrText>
            </w:r>
            <w:r>
              <w:rPr>
                <w:rFonts w:hint="eastAsia" w:ascii="仿宋_GB2312" w:hAnsi="仿宋_GB2312" w:eastAsia="仿宋_GB2312" w:cs="仿宋_GB2312"/>
                <w:sz w:val="24"/>
                <w:szCs w:val="28"/>
                <w:vertAlign w:val="baseline"/>
                <w:lang w:val="en-US" w:eastAsia="zh-CN"/>
              </w:rPr>
              <w:fldChar w:fldCharType="separate"/>
            </w:r>
            <w:r>
              <w:rPr>
                <w:rFonts w:hint="eastAsia" w:ascii="仿宋_GB2312" w:hAnsi="仿宋_GB2312" w:eastAsia="仿宋_GB2312" w:cs="仿宋_GB2312"/>
                <w:sz w:val="24"/>
                <w:szCs w:val="28"/>
                <w:vertAlign w:val="baseline"/>
                <w:lang w:val="en-US" w:eastAsia="zh-CN"/>
              </w:rPr>
              <w:fldChar w:fldCharType="end"/>
            </w:r>
          </w:p>
        </w:tc>
      </w:tr>
    </w:tbl>
    <w:p>
      <w:pPr>
        <w:tabs>
          <w:tab w:val="left" w:pos="2856"/>
        </w:tabs>
        <w:bidi w:val="0"/>
        <w:ind w:left="420" w:hanging="440" w:hangingChars="200"/>
        <w:jc w:val="left"/>
        <w:rPr>
          <w:rFonts w:hint="eastAsia"/>
          <w:sz w:val="22"/>
          <w:szCs w:val="28"/>
          <w:lang w:val="en-US" w:eastAsia="zh-CN"/>
        </w:rPr>
      </w:pPr>
    </w:p>
    <w:tbl>
      <w:tblPr>
        <w:tblStyle w:val="6"/>
        <w:tblpPr w:leftFromText="180" w:rightFromText="180" w:vertAnchor="text" w:tblpX="10214" w:tblpY="-87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91" w:type="dxa"/>
          </w:tcPr>
          <w:p>
            <w:pPr>
              <w:tabs>
                <w:tab w:val="left" w:pos="2856"/>
              </w:tabs>
              <w:bidi w:val="0"/>
              <w:jc w:val="left"/>
              <w:rPr>
                <w:rFonts w:hint="eastAsia"/>
                <w:sz w:val="22"/>
                <w:szCs w:val="28"/>
                <w:vertAlign w:val="baseline"/>
                <w:lang w:val="en-US" w:eastAsia="zh-CN"/>
              </w:rPr>
            </w:pPr>
          </w:p>
        </w:tc>
      </w:tr>
    </w:tbl>
    <w:tbl>
      <w:tblPr>
        <w:tblStyle w:val="6"/>
        <w:tblpPr w:leftFromText="180" w:rightFromText="180" w:vertAnchor="text" w:tblpX="10214" w:tblpY="-125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tabs>
                <w:tab w:val="left" w:pos="2856"/>
              </w:tabs>
              <w:bidi w:val="0"/>
              <w:jc w:val="left"/>
              <w:rPr>
                <w:rFonts w:hint="eastAsia"/>
                <w:sz w:val="22"/>
                <w:szCs w:val="28"/>
                <w:vertAlign w:val="baseline"/>
                <w:lang w:val="en-US" w:eastAsia="zh-CN"/>
              </w:rPr>
            </w:pPr>
          </w:p>
        </w:tc>
      </w:tr>
    </w:tbl>
    <w:p>
      <w:pPr>
        <w:tabs>
          <w:tab w:val="left" w:pos="2856"/>
        </w:tabs>
        <w:bidi w:val="0"/>
        <w:ind w:left="420" w:hanging="440" w:hangingChars="200"/>
        <w:jc w:val="left"/>
        <w:rPr>
          <w:rFonts w:hint="eastAsia" w:ascii="仿宋_GB2312" w:hAnsi="仿宋_GB2312" w:eastAsia="仿宋_GB2312" w:cs="仿宋_GB2312"/>
          <w:sz w:val="22"/>
          <w:szCs w:val="28"/>
          <w:lang w:val="en-US" w:eastAsia="zh-CN"/>
        </w:rPr>
      </w:pPr>
      <w:r>
        <w:rPr>
          <w:rFonts w:hint="eastAsia" w:ascii="仿宋_GB2312" w:hAnsi="仿宋_GB2312" w:eastAsia="仿宋_GB2312" w:cs="仿宋_GB2312"/>
          <w:sz w:val="22"/>
          <w:szCs w:val="28"/>
          <w:lang w:val="en-US" w:eastAsia="zh-CN"/>
        </w:rPr>
        <w:t>注：镇街分解任务数结合乡村人口数、农机合作社数、粮食作物、蔬菜种植面积亩数综合制定</w:t>
      </w:r>
    </w:p>
    <w:p>
      <w:pPr>
        <w:jc w:val="left"/>
        <w:rPr>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四、实施内容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(一)严格遴选培训对象。</w:t>
      </w:r>
      <w:r>
        <w:rPr>
          <w:rFonts w:hint="eastAsia" w:ascii="仿宋_GB2312" w:hAnsi="仿宋_GB2312" w:eastAsia="仿宋_GB2312" w:cs="仿宋_GB2312"/>
          <w:kern w:val="2"/>
          <w:sz w:val="32"/>
          <w:szCs w:val="32"/>
          <w:lang w:val="en-US" w:eastAsia="zh-CN" w:bidi="ar-SA"/>
        </w:rPr>
        <w:t>所有培育对象由区农业技术推广中心（农广校）按照《关于印发枣庄市高素质农民培育指导性培训规范(试行)的通知》枣农科教字[2021]9号标准严格执行遴选，年龄满16周岁，具有初中或以上文化程度，身体健康、无精神疾病，社会活动适应性高，热爱农业、品德端正、遵纪守法、有较好的农业从业稳定性。为进行线上学习培训需要，参训学员必需携带智能手机。由镇（街）初审，并由区农业技术推广中心（农广校）经过系统查重审批，确保同一层级重复率控制在8%以下，最终确定培育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（二）科学确定培训机构。</w:t>
      </w:r>
      <w:r>
        <w:rPr>
          <w:rFonts w:hint="eastAsia" w:ascii="仿宋_GB2312" w:hAnsi="仿宋_GB2312" w:eastAsia="仿宋_GB2312" w:cs="仿宋_GB2312"/>
          <w:kern w:val="2"/>
          <w:sz w:val="32"/>
          <w:szCs w:val="32"/>
          <w:lang w:val="en-US" w:eastAsia="zh-CN" w:bidi="ar-SA"/>
        </w:rPr>
        <w:t>遵循公开、公平、公正原则科学遴选确定培训机构，主动接受社会监督。加快建立开放教育培训体系，统筹利用好农广校、涉农院校、科研院所等教育培训资源，采取政府购买服务等方式引导鼓励农业龙头企业、农民合作组织等参与教育培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（三）确保完成要求学时。</w:t>
      </w:r>
      <w:r>
        <w:rPr>
          <w:rFonts w:hint="eastAsia" w:ascii="仿宋_GB2312" w:hAnsi="仿宋_GB2312" w:eastAsia="仿宋_GB2312" w:cs="仿宋_GB2312"/>
          <w:kern w:val="2"/>
          <w:sz w:val="32"/>
          <w:szCs w:val="32"/>
          <w:lang w:val="en-US" w:eastAsia="zh-CN" w:bidi="ar-SA"/>
        </w:rPr>
        <w:t>培训班的编制原则上每班不超过50人。每期培训时间不少于132学时，其中，综合素养12学时、专业能力20学时、实习实训88学时(现场教学58学时、跟踪服务30学时)、线上学习12学时。45分钟为1学时，每半天不超过4个学时。将“云上智农”APP应用纳入培训课程，所有的培训班、培训学员、教师课程安排均要求实现上线可查。 建立完善的班级管理制度。积极组织专家、教师和农技人员上线服务，探索专家、农技人员通过在线服务农民获取相应的奖励和激励。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(五)提升培训效果。</w:t>
      </w:r>
      <w:r>
        <w:rPr>
          <w:rFonts w:hint="eastAsia" w:ascii="仿宋_GB2312" w:hAnsi="仿宋_GB2312" w:eastAsia="仿宋_GB2312" w:cs="仿宋_GB2312"/>
          <w:kern w:val="2"/>
          <w:sz w:val="32"/>
          <w:szCs w:val="32"/>
          <w:lang w:val="en-US" w:eastAsia="zh-CN" w:bidi="ar-SA"/>
        </w:rPr>
        <w:t>一是强化政策扶持。整合政策资源，引导强农惠农富农政策向参训农民倾斜，鼓励其流转土地发展适度规模经营。二是支持抱团发展。支持农民在产业发展、生产服务、营销促销等方面开展联合与合作，通过专业合作、资金合作、股份合作等形式发展多元化、多类型合作经济组织。开展各具特色的引领活动，搭建展示舞台和平台，引导农民与市场充分有效对接。支持广大农民参加多种形式的展览展示、发展论坛、项目路演和技术技能比赛，创造机会条件，拓展理念视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五、进度安排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(一)制定实施方案(8月上旬)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按照文件要求和整体思路，结合我区特色镇产业发展需求和培训任务，制定切实可行的培训实施方案，超额落实上级要求的培训任务，在培训方案中明确培训工作节点进度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(二)培训资金到位(8月)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根据承担培训任务，目前高素质农民培育专项资金已拨付到区财政，区财政应保证按承担培育任务拨到农民教育培训实施单位。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(三)开展培训工作(8-11月)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农业农村局经科学论证、精心制定每阶段培育计划，按照国家教育培训规范，根据镇（街）农业实际和农民生产、经营及服务领域需要、科学合理设置培育课程对学员规范管理，及时按照农业农村部农民教育培训信息管理系统要求录入培训相关信息，使培育工作档案管理规范化、制度化。年底前，确保完成省市下达的培训任务，参加培训的学员通过“全国农业科教云平台”和“云上智农”对培训教师、培训基地、培训班组织和培训效果进行考核并将各镇（街）学员参训考核情况上报给区党委、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(四)开展现场调研(11月)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区级组织对各镇（街）开展高素质农民培育情况进行实地调研，对工作进度慢、不能按时完成培育任务指标的镇(街)在乡村振兴考核中扣除相应分值，并报区委、区政府约谈镇（街）相关负责人。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六、资金保障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农民教育培训专项资金已列入 20201年中央财政农业生产发展资金，区农业农村局做好与区财政局的沟通协调工作，及早做好培训资金的申请，确保培训工作能按计划完成。细化培训资金的管理，按照项目规定使用资金，确保让每分钱用在刀刃上，发挥资金的最大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七、工作保障措施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(一)强化组织领导。</w:t>
      </w:r>
      <w:r>
        <w:rPr>
          <w:rFonts w:hint="eastAsia" w:ascii="仿宋_GB2312" w:hAnsi="仿宋_GB2312" w:eastAsia="仿宋_GB2312" w:cs="仿宋_GB2312"/>
          <w:kern w:val="2"/>
          <w:sz w:val="32"/>
          <w:szCs w:val="32"/>
          <w:lang w:val="en-US" w:eastAsia="zh-CN" w:bidi="ar-SA"/>
        </w:rPr>
        <w:t>切实加强组织领导，将高素质农民培育工作摆上党委政府“三农”工作重要日程，创新机制模式，健全制度体系，推动高素质农民培育工作能够按照时间节点保质保量完成。区成立由区委副书记、区统战部部长、区委农业农村委员会副主任闫羲和任组长，区政府副区长、农业农村委员会副主任杨庸为副组长，农业农村、财政局，各镇(街)政府(办事处)主要负责人为成员的高素质农民培育工作领导小组，全面负责高素质农民培育工作的实施。领导小组成员名单如下：</w:t>
      </w:r>
    </w:p>
    <w:p>
      <w:pPr>
        <w:keepNext w:val="0"/>
        <w:keepLines w:val="0"/>
        <w:pageBreakBefore w:val="0"/>
        <w:widowControl w:val="0"/>
        <w:kinsoku/>
        <w:wordWrap/>
        <w:overflowPunct/>
        <w:topLinePunct w:val="0"/>
        <w:autoSpaceDE/>
        <w:autoSpaceDN/>
        <w:bidi w:val="0"/>
        <w:adjustRightInd/>
        <w:snapToGrid/>
        <w:spacing w:line="560" w:lineRule="exact"/>
        <w:ind w:left="3208" w:leftChars="304" w:hanging="2570" w:hangingChars="8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组  长：</w:t>
      </w:r>
      <w:r>
        <w:rPr>
          <w:rFonts w:hint="eastAsia" w:ascii="仿宋_GB2312" w:hAnsi="仿宋_GB2312" w:eastAsia="仿宋_GB2312" w:cs="仿宋_GB2312"/>
          <w:kern w:val="2"/>
          <w:sz w:val="32"/>
          <w:szCs w:val="32"/>
          <w:lang w:val="en-US" w:eastAsia="zh-CN" w:bidi="ar-SA"/>
        </w:rPr>
        <w:t xml:space="preserve">闫载和  </w:t>
      </w:r>
      <w:r>
        <w:rPr>
          <w:rFonts w:hint="eastAsia" w:ascii="仿宋_GB2312" w:hAnsi="仿宋_GB2312" w:eastAsia="仿宋_GB2312" w:cs="仿宋_GB2312"/>
          <w:spacing w:val="-17"/>
          <w:kern w:val="2"/>
          <w:sz w:val="32"/>
          <w:szCs w:val="32"/>
          <w:lang w:val="en-US" w:eastAsia="zh-CN" w:bidi="ar-SA"/>
        </w:rPr>
        <w:t>区委副书记、区委农业农村委员会副主任</w:t>
      </w:r>
    </w:p>
    <w:p>
      <w:pPr>
        <w:keepNext w:val="0"/>
        <w:keepLines w:val="0"/>
        <w:pageBreakBefore w:val="0"/>
        <w:widowControl w:val="0"/>
        <w:kinsoku/>
        <w:wordWrap/>
        <w:overflowPunct/>
        <w:topLinePunct w:val="0"/>
        <w:autoSpaceDE/>
        <w:autoSpaceDN/>
        <w:bidi w:val="0"/>
        <w:adjustRightInd/>
        <w:snapToGrid/>
        <w:spacing w:line="560" w:lineRule="exact"/>
        <w:ind w:left="3208" w:leftChars="304" w:hanging="2570" w:hangingChars="8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副组长：</w:t>
      </w:r>
      <w:r>
        <w:rPr>
          <w:rFonts w:hint="eastAsia" w:ascii="仿宋_GB2312" w:hAnsi="仿宋_GB2312" w:eastAsia="仿宋_GB2312" w:cs="仿宋_GB2312"/>
          <w:kern w:val="2"/>
          <w:sz w:val="32"/>
          <w:szCs w:val="32"/>
          <w:lang w:val="en-US" w:eastAsia="zh-CN" w:bidi="ar-SA"/>
        </w:rPr>
        <w:t>杨  庸  区政府副区长、区委农业农村委员会副主任</w:t>
      </w:r>
    </w:p>
    <w:p>
      <w:pPr>
        <w:pStyle w:val="2"/>
        <w:keepNext w:val="0"/>
        <w:keepLines w:val="0"/>
        <w:pageBreakBefore w:val="0"/>
        <w:widowControl w:val="0"/>
        <w:kinsoku/>
        <w:wordWrap/>
        <w:overflowPunct/>
        <w:topLinePunct w:val="0"/>
        <w:autoSpaceDE/>
        <w:autoSpaceDN/>
        <w:bidi w:val="0"/>
        <w:adjustRightInd/>
        <w:snapToGrid/>
        <w:spacing w:line="560" w:lineRule="exact"/>
        <w:ind w:left="3208" w:leftChars="304" w:hanging="2570" w:hangingChars="800"/>
        <w:jc w:val="both"/>
        <w:textAlignment w:val="auto"/>
        <w:rPr>
          <w:rFonts w:hint="default"/>
          <w:lang w:val="en-US" w:eastAsia="zh-CN"/>
        </w:rPr>
      </w:pPr>
      <w:r>
        <w:rPr>
          <w:rFonts w:hint="eastAsia" w:ascii="仿宋_GB2312" w:hAnsi="仿宋_GB2312" w:eastAsia="仿宋_GB2312" w:cs="仿宋_GB2312"/>
          <w:b/>
          <w:bCs/>
          <w:kern w:val="2"/>
          <w:sz w:val="32"/>
          <w:szCs w:val="32"/>
          <w:lang w:val="en-US" w:eastAsia="zh-CN" w:bidi="ar-SA"/>
        </w:rPr>
        <w:t>成  员：</w:t>
      </w:r>
      <w:r>
        <w:rPr>
          <w:rFonts w:hint="eastAsia" w:ascii="仿宋_GB2312" w:hAnsi="仿宋_GB2312" w:eastAsia="仿宋_GB2312" w:cs="仿宋_GB2312"/>
          <w:kern w:val="2"/>
          <w:sz w:val="32"/>
          <w:szCs w:val="32"/>
          <w:lang w:val="en-US" w:eastAsia="zh-CN" w:bidi="ar-SA"/>
        </w:rPr>
        <w:t>程  相  区委农办主任、区农业农村局局长、区乡村振兴局局长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  勇  区财政局局长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  鹏  张山子镇镇长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关继元  涧头集镇镇长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王茂爽  运河街道办事处主任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赵恒洽  邳庄镇镇长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郭厚琛  马兰屯镇镇长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  智  泥沟镇镇长</w:t>
      </w:r>
    </w:p>
    <w:p>
      <w:pPr>
        <w:pStyle w:val="2"/>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李静欣  区农业技术推广中心主任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镇(街)设立高素质农民培育工作办公室，具体负责各镇街农民培育工作实施，充分发挥镇(街)农技推广机构的整体功能推动农民培育政策宣传到位，按要求遴选学员，按时参加培训，并完成各项课程的学习及评价工作，确保圆满完成培训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充分发挥区农业农村局和镇(街)农技站基础平台作用，积极开展需求调研、培训组织、跟踪服务、能力评价和规范管理等工作。区农业农村和财政部门负责资金到位、条件到位。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(二)夯实基础支撑。</w:t>
      </w:r>
      <w:r>
        <w:rPr>
          <w:rFonts w:hint="eastAsia" w:ascii="仿宋_GB2312" w:hAnsi="仿宋_GB2312" w:eastAsia="仿宋_GB2312" w:cs="仿宋_GB2312"/>
          <w:kern w:val="2"/>
          <w:sz w:val="32"/>
          <w:szCs w:val="32"/>
          <w:lang w:val="en-US" w:eastAsia="zh-CN" w:bidi="ar-SA"/>
        </w:rPr>
        <w:t>选准优秀师资，发挥区农业农村局系统集中办学优势、从省级师资库里精选“双师型”、具有先进适用技术的优秀教师，指导实践操作技能培训，发挥他们传帮带的作用，经常性地开展技术指导和技术咨询，确保学员学有所获，学有所得，并把培训教师的讲课资料汇编成册为学员提供技术参考。继续推进农民培育基地建设，着力推动打造一批优质基地，加强教育培训师资库建设，加快精品教材建设，建设高质量通用教材和区域教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(三)严格资金监管。</w:t>
      </w:r>
      <w:r>
        <w:rPr>
          <w:rFonts w:hint="eastAsia" w:ascii="仿宋_GB2312" w:hAnsi="仿宋_GB2312" w:eastAsia="仿宋_GB2312" w:cs="仿宋_GB2312"/>
          <w:kern w:val="2"/>
          <w:sz w:val="32"/>
          <w:szCs w:val="32"/>
          <w:lang w:val="en-US" w:eastAsia="zh-CN" w:bidi="ar-SA"/>
        </w:rPr>
        <w:t>要严格按照“谁使用、谁负责”的原则强化项目资金监管，项目资金主要用于需求调研、宣传引导、培育组织、培育过程、跟踪服务、能力评价和规范管理等培养全过程，要确保专项资金专款专用。对于挤占挪用、骗取套取补助资金等违法违规行为，及时纠正并对相关单位和人员按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（四）做好宣传引导。</w:t>
      </w:r>
      <w:r>
        <w:rPr>
          <w:rFonts w:hint="eastAsia" w:ascii="仿宋_GB2312" w:hAnsi="仿宋_GB2312" w:eastAsia="仿宋_GB2312" w:cs="仿宋_GB2312"/>
          <w:kern w:val="2"/>
          <w:sz w:val="32"/>
          <w:szCs w:val="32"/>
          <w:lang w:val="en-US" w:eastAsia="zh-CN" w:bidi="ar-SA"/>
        </w:rPr>
        <w:t>充分利用互联网、广播、电视、报刊等媒体，着力从培训机构、实训基地、授课教师，农民典型等方面，加强培训经验总结，形成一批教育培训好经验、好模式、好典型。树标杆、立典型、讲经验、推模式，全方位呈现农民教育培训工作成效。</w:t>
      </w:r>
    </w:p>
    <w:sectPr>
      <w:footerReference r:id="rId3" w:type="default"/>
      <w:pgSz w:w="11906" w:h="16838"/>
      <w:pgMar w:top="1701" w:right="1587" w:bottom="1701" w:left="1587" w:header="720" w:footer="124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rawingGridVerticalSpacing w:val="159"/>
  <w:displayVerticalDrawingGridEvery w:val="2"/>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61CD1"/>
    <w:rsid w:val="01572DC5"/>
    <w:rsid w:val="04291216"/>
    <w:rsid w:val="05270C6F"/>
    <w:rsid w:val="09C51F9B"/>
    <w:rsid w:val="0B993701"/>
    <w:rsid w:val="0CB87B51"/>
    <w:rsid w:val="0E591F4A"/>
    <w:rsid w:val="0EF65E03"/>
    <w:rsid w:val="15366179"/>
    <w:rsid w:val="15AC048E"/>
    <w:rsid w:val="17F83184"/>
    <w:rsid w:val="181B23EE"/>
    <w:rsid w:val="18F13886"/>
    <w:rsid w:val="1AE05643"/>
    <w:rsid w:val="1C042C48"/>
    <w:rsid w:val="1CDB779F"/>
    <w:rsid w:val="1F247AE7"/>
    <w:rsid w:val="24D65DAE"/>
    <w:rsid w:val="27043DD4"/>
    <w:rsid w:val="2A77081B"/>
    <w:rsid w:val="2FC359EA"/>
    <w:rsid w:val="30B458AA"/>
    <w:rsid w:val="320D7F8E"/>
    <w:rsid w:val="341860FE"/>
    <w:rsid w:val="3F0B179F"/>
    <w:rsid w:val="403B7777"/>
    <w:rsid w:val="43062480"/>
    <w:rsid w:val="44125E37"/>
    <w:rsid w:val="4688654F"/>
    <w:rsid w:val="4C524865"/>
    <w:rsid w:val="515B2DCC"/>
    <w:rsid w:val="54C47C49"/>
    <w:rsid w:val="5A2C7DB7"/>
    <w:rsid w:val="5EC1156B"/>
    <w:rsid w:val="5EEB496E"/>
    <w:rsid w:val="607C6691"/>
    <w:rsid w:val="65B30203"/>
    <w:rsid w:val="66867832"/>
    <w:rsid w:val="67B65388"/>
    <w:rsid w:val="690C7FD9"/>
    <w:rsid w:val="69D143A3"/>
    <w:rsid w:val="6ED25619"/>
    <w:rsid w:val="72D73EEB"/>
    <w:rsid w:val="77B225B6"/>
    <w:rsid w:val="79022105"/>
    <w:rsid w:val="7CE928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li_正文"/>
    <w:basedOn w:val="1"/>
    <w:qFormat/>
    <w:uiPriority w:val="99"/>
    <w:pPr>
      <w:tabs>
        <w:tab w:val="left" w:pos="2340"/>
        <w:tab w:val="left" w:pos="4320"/>
      </w:tabs>
      <w:ind w:firstLine="530" w:firstLineChars="200"/>
      <w:jc w:val="left"/>
    </w:pPr>
    <w:rPr>
      <w:sz w:val="28"/>
      <w:szCs w:val="28"/>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2021-07-05T08:24:00Z</dcterms:created>
  <dc:creator>Apache POI</dc:creator>
  <cp:lastModifiedBy>源泉印务</cp:lastModifiedBy>
  <cp:lastPrinted>2021-10-12T11:57:00Z</cp:lastPrinted>
  <dcterms:modified xsi:type="dcterms:W3CDTF">2021-10-14T03:06:46Z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2EB44A9332494161856E7ED35515BB09</vt:lpwstr>
  </property>
</Properties>
</file>