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450" w:afterAutospacing="0" w:line="560" w:lineRule="exact"/>
        <w:ind w:right="0"/>
        <w:jc w:val="center"/>
        <w:textAlignment w:val="auto"/>
        <w:rPr>
          <w:rFonts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color w:val="auto"/>
          <w:sz w:val="36"/>
          <w:szCs w:val="36"/>
          <w:highlight w:val="none"/>
        </w:rPr>
        <w:t>台儿庄区202</w:t>
      </w:r>
      <w:r>
        <w:rPr>
          <w:rFonts w:hint="eastAsia" w:ascii="黑体" w:hAnsi="黑体" w:eastAsia="黑体" w:cs="黑体"/>
          <w:b w:val="0"/>
          <w:color w:val="auto"/>
          <w:sz w:val="36"/>
          <w:szCs w:val="36"/>
          <w:highlight w:val="none"/>
          <w:lang w:val="en-US" w:eastAsia="zh-CN"/>
        </w:rPr>
        <w:t>3年1-12</w:t>
      </w:r>
      <w:r>
        <w:rPr>
          <w:rFonts w:hint="eastAsia" w:ascii="黑体" w:hAnsi="黑体" w:eastAsia="黑体" w:cs="黑体"/>
          <w:b w:val="0"/>
          <w:color w:val="auto"/>
          <w:sz w:val="36"/>
          <w:szCs w:val="36"/>
          <w:highlight w:val="none"/>
        </w:rPr>
        <w:t>月份财政收支情况及财政收支增减变化原因分析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一、1-12月份财政收支情况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收入情况。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月份，全区一般公共预算收入完成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110246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%，较上年同期增收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9375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分结构完成情况：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税收收入完成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68745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%，较上年同期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增收2682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增长4.1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%，占一般公共预算收入的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62.4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%；非税收入完成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41501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%，较上年同期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增收6693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增长19.2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分级次完成情况：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区级收入完成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85380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103.1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%，较上年同期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增收3834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增长4.7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%；镇级收入完成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24866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91.4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%，较上年同期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增收5541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增长28.7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分部门完成情况：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税务部门完成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76365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%，较上年同期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减收3182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%；财政部门完成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33881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%，较上年同期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增收12557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增长58.9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（二）支出情况。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1-12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月份，全区一般公共预算支出完成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278322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105.3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%，较上年同期增支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51331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%。其中，民生支出完成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211821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万元，占一般公共预算支出的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76.1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%。主要支出项目中：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一般公共服务支出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27905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98.6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增长16.6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教育支出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58675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102.5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增长4.4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社会保障和就业支出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68835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104.3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增长26.4%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卫生健康支出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16828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102.5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城乡社区支出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6795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下降29.7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农林水支出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30564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144.8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增长21.2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二、1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-12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月份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财政收支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的特点及存在的问题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（一）强化部门统筹，夯实财力基础。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2023年，一般公共预算收入完成110246万元，较上年同期增收9375万元，增长9.3%，排名居全市第二位，超额完成增幅7%的年初目标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从收入结构来看，税收规模仍处于较低水平，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收入增长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非税收入拉动，主要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highlight w:val="none"/>
          <w:u w:val="none"/>
          <w:lang w:val="en-US" w:eastAsia="zh-CN"/>
        </w:rPr>
        <w:t>通过特许经营权项目、闲置资产盘活等，拓宽非税收入增收入渠道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。全年争取新增专项债券80900万元，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highlight w:val="none"/>
          <w:u w:val="none"/>
          <w:lang w:val="en-US" w:eastAsia="zh-CN"/>
        </w:rPr>
        <w:t>扩充了资金保障实力，更好的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支持了全区重点项目建设。政府性基金预算收入完成168653万元，占年初预算的105.8%，调入一般公共预算36924万元，较好的弥补了一般公共预算财力短缺。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（二）优化支出结构，民生保障有力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w w:val="1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紧盯群众关切的教育、医疗、住房等重点民生领域，优先保障、早拨快支，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保障好群众基本生活。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教育支出只增不减，持续扩大教育资源供给，全力促进优质医疗资源均衡布局，着力提升社会救助服务水平，大力支持城镇保障性安居工程任务落实等具体工作。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全区民生支出完成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/>
        </w:rPr>
        <w:t>211821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万元，增长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/>
        </w:rPr>
        <w:t>14.6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%，占一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般公共预算支出的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76.1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（三）紧绷安全之弦，严守风险底线。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一方面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加强“三保”资金保障，兜牢兜实“三保”底线。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确保“三保”保障全覆盖、零缺口，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2023年我区“三保”支出</w:t>
      </w:r>
      <w:r>
        <w:rPr>
          <w:rFonts w:hint="eastAsia" w:ascii="仿宋_GB2312" w:hAnsi="仿宋_GB2312" w:eastAsia="仿宋_GB2312" w:cs="仿宋_GB2312"/>
          <w:spacing w:val="2"/>
          <w:w w:val="100"/>
          <w:kern w:val="0"/>
          <w:position w:val="-2"/>
          <w:sz w:val="32"/>
          <w:szCs w:val="32"/>
          <w:highlight w:val="none"/>
          <w:lang w:val="en-US" w:eastAsia="zh-CN"/>
        </w:rPr>
        <w:t>166692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万元，确保了各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项基本民生政策得到有效落实、人员工资足额发放、机构正常运转。另一方面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加强政府债务管理，防范政府债务风险。如期还本付息78908万元，</w:t>
      </w:r>
      <w:r>
        <w:rPr>
          <w:rFonts w:hint="eastAsia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 w:bidi="ar-SA"/>
        </w:rPr>
        <w:t>严格落实落细隐性债务管理机制，坚决防止一边化债一边新增，通过压减一般性公共支出、盘活存量资产和国有资产，千方百计筹措资金偿还债务化解存量。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三、下一步工作打算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抓收入控支出，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为高质量发展添力赋能。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加强财税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协同，聚焦重点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领域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、项目，及时准确研判分析收入形势，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确保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依法征收、应收尽收。建立节约型财政保障机制，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坚持过紧日子思想，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强化预算刚性约束，削减低效、无效项目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资金预算安排，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不断优化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重点民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生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项目推进机制，提升服务保障水平，确保将重点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民生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项目建设成果尽快转化为经济社会发展的实际成效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努力发挥财政资金最大效益，高效服务保障我区经济发展。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（二）涵养优质税源，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夯实财政收入稳步增长基础。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落实积极财政政策，力促经济恢复向好，持续贯彻好减税降费退税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和增值税留抵退税政策，降低经营主体税费负担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激发市场主体活力。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聚焦重点支持领域，精准谋划申报政府债券项目，争取更多政府债券资金额度，为重点项目保驾护航。配套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好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产业扶持惠企政策，创优营商环境，助推锂电首位产业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</w:rPr>
        <w:t>乘势而上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</w:rPr>
        <w:t>传统产业加快转型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</w:rPr>
        <w:t>大力推进数智转型、绿色发展，夯实打赢“工业突围”战根基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做大做强全区综合财政收入实力。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（三）强管理促改革，为财政管理注入新活力。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w w:val="100"/>
          <w:sz w:val="31"/>
          <w:szCs w:val="31"/>
          <w:shd w:val="clear" w:color="auto" w:fill="FFFFFF"/>
          <w:lang w:val="en-US" w:eastAsia="zh-CN"/>
        </w:rPr>
        <w:t>坚持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w w:val="100"/>
          <w:sz w:val="31"/>
          <w:szCs w:val="31"/>
          <w:shd w:val="clear" w:color="auto" w:fill="FFFFFF"/>
        </w:rPr>
        <w:t>深化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w w:val="100"/>
          <w:sz w:val="31"/>
          <w:szCs w:val="31"/>
          <w:shd w:val="clear" w:color="auto" w:fill="FFFFFF"/>
          <w:lang w:eastAsia="zh-CN"/>
        </w:rPr>
        <w:t>财政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w w:val="100"/>
          <w:sz w:val="31"/>
          <w:szCs w:val="31"/>
          <w:shd w:val="clear" w:color="auto" w:fill="FFFFFF"/>
        </w:rPr>
        <w:t>体制改革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w w:val="100"/>
          <w:sz w:val="31"/>
          <w:szCs w:val="31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w w:val="100"/>
          <w:sz w:val="31"/>
          <w:szCs w:val="31"/>
          <w:shd w:val="clear" w:color="auto" w:fill="FFFFFF"/>
          <w:lang w:val="en-US" w:eastAsia="zh-CN"/>
        </w:rPr>
        <w:t>不断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w w:val="100"/>
          <w:sz w:val="31"/>
          <w:szCs w:val="31"/>
          <w:shd w:val="clear" w:color="auto" w:fill="FFFFFF"/>
        </w:rPr>
        <w:t>提</w:t>
      </w:r>
      <w:r>
        <w:rPr>
          <w:rFonts w:ascii="Times New Roman" w:hAnsi="Times New Roman" w:eastAsia="仿宋_GB2312" w:cs="Times New Roman"/>
          <w:color w:val="auto"/>
          <w:w w:val="100"/>
          <w:sz w:val="32"/>
          <w:szCs w:val="32"/>
        </w:rPr>
        <w:t>升财政管理效能和资金绩效。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严格预算编制源头管理，</w:t>
      </w:r>
      <w:r>
        <w:rPr>
          <w:rFonts w:ascii="Times New Roman" w:hAnsi="Times New Roman" w:eastAsia="仿宋_GB2312" w:cs="Times New Roman"/>
          <w:color w:val="auto"/>
          <w:w w:val="100"/>
          <w:sz w:val="32"/>
          <w:szCs w:val="32"/>
        </w:rPr>
        <w:t>坚决落实政府过紧日子要求，推动预算管理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质效并提。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加大预算绩效管理力度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</w:rPr>
        <w:t>构建融合绩效目标管理、绩效评估、运行监控、绩效评价、结果应用为一体的预算绩效闭环管理体系。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加力发挥财会监督职能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</w:rPr>
        <w:t>规范财政收支管理，进一步严肃财经纪律。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规范和强化行政事业性国有资产管理，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严格执行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资产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</w:rPr>
        <w:t>管理条例，加快推进行政事业单位各类国有资产盘活利用，确保国有资产保值增值。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napToGrid/>
        <w:spacing w:line="560" w:lineRule="exact"/>
        <w:ind w:firstLine="619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-6"/>
          <w:w w:val="100"/>
          <w:kern w:val="2"/>
          <w:sz w:val="32"/>
          <w:szCs w:val="32"/>
          <w:highlight w:val="yellow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C6E51D2"/>
    <w:rsid w:val="00074F0F"/>
    <w:rsid w:val="00092A21"/>
    <w:rsid w:val="000B5534"/>
    <w:rsid w:val="000C7B25"/>
    <w:rsid w:val="0019460E"/>
    <w:rsid w:val="001F61E0"/>
    <w:rsid w:val="002174E1"/>
    <w:rsid w:val="00251AE4"/>
    <w:rsid w:val="00282D22"/>
    <w:rsid w:val="002913A1"/>
    <w:rsid w:val="002A708A"/>
    <w:rsid w:val="002D2EC8"/>
    <w:rsid w:val="003661BB"/>
    <w:rsid w:val="00420316"/>
    <w:rsid w:val="004B1BC9"/>
    <w:rsid w:val="005C78FD"/>
    <w:rsid w:val="006E25EC"/>
    <w:rsid w:val="00767E6E"/>
    <w:rsid w:val="00782898"/>
    <w:rsid w:val="007A34E4"/>
    <w:rsid w:val="007E1C35"/>
    <w:rsid w:val="008168CF"/>
    <w:rsid w:val="00854799"/>
    <w:rsid w:val="008612E3"/>
    <w:rsid w:val="0088062C"/>
    <w:rsid w:val="00920485"/>
    <w:rsid w:val="00951973"/>
    <w:rsid w:val="00996053"/>
    <w:rsid w:val="009F52F2"/>
    <w:rsid w:val="00A11138"/>
    <w:rsid w:val="00B40F03"/>
    <w:rsid w:val="00B5035B"/>
    <w:rsid w:val="00C740DA"/>
    <w:rsid w:val="00CD210A"/>
    <w:rsid w:val="00D321CE"/>
    <w:rsid w:val="00D77E43"/>
    <w:rsid w:val="00E36BEE"/>
    <w:rsid w:val="00E92214"/>
    <w:rsid w:val="00EE5467"/>
    <w:rsid w:val="00F04C37"/>
    <w:rsid w:val="00F76E72"/>
    <w:rsid w:val="010B29B2"/>
    <w:rsid w:val="013A0A25"/>
    <w:rsid w:val="01990ABE"/>
    <w:rsid w:val="02C31888"/>
    <w:rsid w:val="0333352C"/>
    <w:rsid w:val="03C36650"/>
    <w:rsid w:val="04070990"/>
    <w:rsid w:val="043E5E67"/>
    <w:rsid w:val="05A777BE"/>
    <w:rsid w:val="05C60F63"/>
    <w:rsid w:val="06AF1A69"/>
    <w:rsid w:val="0848670F"/>
    <w:rsid w:val="08F320B5"/>
    <w:rsid w:val="0B094911"/>
    <w:rsid w:val="0B565CAD"/>
    <w:rsid w:val="0C8F0516"/>
    <w:rsid w:val="0CDA5FAD"/>
    <w:rsid w:val="0E672326"/>
    <w:rsid w:val="105825AE"/>
    <w:rsid w:val="10FB7F23"/>
    <w:rsid w:val="13480A83"/>
    <w:rsid w:val="13DC7DFA"/>
    <w:rsid w:val="144909B7"/>
    <w:rsid w:val="14A958D5"/>
    <w:rsid w:val="16704D3E"/>
    <w:rsid w:val="16A13C28"/>
    <w:rsid w:val="17085ECB"/>
    <w:rsid w:val="187D0290"/>
    <w:rsid w:val="1B30784E"/>
    <w:rsid w:val="1CED170E"/>
    <w:rsid w:val="1D217F4F"/>
    <w:rsid w:val="1D4071E5"/>
    <w:rsid w:val="1E743D8C"/>
    <w:rsid w:val="1E8874C3"/>
    <w:rsid w:val="1EB542C2"/>
    <w:rsid w:val="1ED07BE7"/>
    <w:rsid w:val="1ED80480"/>
    <w:rsid w:val="1F271072"/>
    <w:rsid w:val="206D7F5A"/>
    <w:rsid w:val="20FC25C0"/>
    <w:rsid w:val="218B638B"/>
    <w:rsid w:val="21CD0148"/>
    <w:rsid w:val="2218438B"/>
    <w:rsid w:val="22736298"/>
    <w:rsid w:val="229E4A9A"/>
    <w:rsid w:val="23A4535D"/>
    <w:rsid w:val="25572810"/>
    <w:rsid w:val="2623656E"/>
    <w:rsid w:val="27DD6CFD"/>
    <w:rsid w:val="27EF01A9"/>
    <w:rsid w:val="28902402"/>
    <w:rsid w:val="295E4CC2"/>
    <w:rsid w:val="2CB079B5"/>
    <w:rsid w:val="2D1D3391"/>
    <w:rsid w:val="2DCB47BF"/>
    <w:rsid w:val="2DE73A2E"/>
    <w:rsid w:val="2E6C691F"/>
    <w:rsid w:val="2EB16D30"/>
    <w:rsid w:val="2EF0427B"/>
    <w:rsid w:val="2FC41F3E"/>
    <w:rsid w:val="2FE8203A"/>
    <w:rsid w:val="301970D7"/>
    <w:rsid w:val="329711FD"/>
    <w:rsid w:val="33823647"/>
    <w:rsid w:val="34767723"/>
    <w:rsid w:val="34B070A6"/>
    <w:rsid w:val="366B3B2D"/>
    <w:rsid w:val="38CD4558"/>
    <w:rsid w:val="399924C8"/>
    <w:rsid w:val="39D503DC"/>
    <w:rsid w:val="3B356CDC"/>
    <w:rsid w:val="3EE1652D"/>
    <w:rsid w:val="423430B0"/>
    <w:rsid w:val="431A5024"/>
    <w:rsid w:val="443E70CE"/>
    <w:rsid w:val="44F578D0"/>
    <w:rsid w:val="45FD0881"/>
    <w:rsid w:val="466119E6"/>
    <w:rsid w:val="46986270"/>
    <w:rsid w:val="47534F19"/>
    <w:rsid w:val="47880679"/>
    <w:rsid w:val="47A154FA"/>
    <w:rsid w:val="47EB22B5"/>
    <w:rsid w:val="48363878"/>
    <w:rsid w:val="48926401"/>
    <w:rsid w:val="48DC7CD5"/>
    <w:rsid w:val="4B032A8C"/>
    <w:rsid w:val="4B8D1C37"/>
    <w:rsid w:val="4BC50C4B"/>
    <w:rsid w:val="4BEC1CFD"/>
    <w:rsid w:val="4D3D70E0"/>
    <w:rsid w:val="4D7867D3"/>
    <w:rsid w:val="4E5562CA"/>
    <w:rsid w:val="4EBC5C55"/>
    <w:rsid w:val="4EDE6F3A"/>
    <w:rsid w:val="4EF25A95"/>
    <w:rsid w:val="500D7CDD"/>
    <w:rsid w:val="508A5EEB"/>
    <w:rsid w:val="51017EA1"/>
    <w:rsid w:val="516A0123"/>
    <w:rsid w:val="51731882"/>
    <w:rsid w:val="51AC08AD"/>
    <w:rsid w:val="526368EF"/>
    <w:rsid w:val="53AF2C1F"/>
    <w:rsid w:val="55147807"/>
    <w:rsid w:val="56953320"/>
    <w:rsid w:val="56BF7EFC"/>
    <w:rsid w:val="56D157E7"/>
    <w:rsid w:val="59D85CF6"/>
    <w:rsid w:val="5B214417"/>
    <w:rsid w:val="5BF56F9F"/>
    <w:rsid w:val="5C6E51D2"/>
    <w:rsid w:val="5C8D702F"/>
    <w:rsid w:val="5CFF0E1F"/>
    <w:rsid w:val="5D41630F"/>
    <w:rsid w:val="5ED33C62"/>
    <w:rsid w:val="5F38347F"/>
    <w:rsid w:val="600B5A28"/>
    <w:rsid w:val="605569B9"/>
    <w:rsid w:val="60803008"/>
    <w:rsid w:val="60E16274"/>
    <w:rsid w:val="6273679B"/>
    <w:rsid w:val="64927E41"/>
    <w:rsid w:val="64F75115"/>
    <w:rsid w:val="65984E08"/>
    <w:rsid w:val="66394526"/>
    <w:rsid w:val="66BF3D0A"/>
    <w:rsid w:val="69B16A8C"/>
    <w:rsid w:val="6A800200"/>
    <w:rsid w:val="6AAE3AE1"/>
    <w:rsid w:val="6B417F31"/>
    <w:rsid w:val="6B783080"/>
    <w:rsid w:val="6C692DC9"/>
    <w:rsid w:val="6C947084"/>
    <w:rsid w:val="6CCE1344"/>
    <w:rsid w:val="6DAD07F1"/>
    <w:rsid w:val="70947071"/>
    <w:rsid w:val="710E5391"/>
    <w:rsid w:val="71255B80"/>
    <w:rsid w:val="71917DBE"/>
    <w:rsid w:val="72EB4E70"/>
    <w:rsid w:val="74E65411"/>
    <w:rsid w:val="75213943"/>
    <w:rsid w:val="75D25AFD"/>
    <w:rsid w:val="76522EF8"/>
    <w:rsid w:val="77936790"/>
    <w:rsid w:val="78FF0E3E"/>
    <w:rsid w:val="792D51E8"/>
    <w:rsid w:val="799D6875"/>
    <w:rsid w:val="79B12A21"/>
    <w:rsid w:val="79D441AD"/>
    <w:rsid w:val="7A231368"/>
    <w:rsid w:val="7A463D5D"/>
    <w:rsid w:val="7AA43FBA"/>
    <w:rsid w:val="7E680E1E"/>
    <w:rsid w:val="7FB31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line="240" w:lineRule="auto"/>
      <w:ind w:firstLine="420"/>
    </w:pPr>
    <w:rPr>
      <w:rFonts w:ascii="Calibri" w:hAnsi="Calibri" w:eastAsia="仿宋" w:cs="Times New Roman"/>
      <w:sz w:val="21"/>
      <w:szCs w:val="24"/>
    </w:rPr>
  </w:style>
  <w:style w:type="paragraph" w:styleId="4">
    <w:name w:val="Body Text"/>
    <w:basedOn w:val="1"/>
    <w:qFormat/>
    <w:uiPriority w:val="99"/>
    <w:pPr>
      <w:jc w:val="center"/>
    </w:pPr>
    <w:rPr>
      <w:b/>
      <w:sz w:val="36"/>
    </w:rPr>
  </w:style>
  <w:style w:type="paragraph" w:styleId="5">
    <w:name w:val="Body Text Indent"/>
    <w:basedOn w:val="1"/>
    <w:next w:val="3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99"/>
    <w:pPr>
      <w:snapToGrid w:val="0"/>
      <w:spacing w:line="640" w:lineRule="exact"/>
      <w:ind w:firstLine="705"/>
    </w:pPr>
    <w:rPr>
      <w:rFonts w:ascii="仿宋_GB2312" w:hAnsi="Calibri" w:eastAsia="仿宋_GB2312"/>
      <w:color w:val="000000"/>
      <w:sz w:val="36"/>
      <w:szCs w:val="36"/>
    </w:rPr>
  </w:style>
  <w:style w:type="paragraph" w:styleId="9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next w:val="1"/>
    <w:semiHidden/>
    <w:unhideWhenUsed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21"/>
      <w:szCs w:val="24"/>
    </w:rPr>
  </w:style>
  <w:style w:type="character" w:styleId="14">
    <w:name w:val="FollowedHyperlink"/>
    <w:basedOn w:val="13"/>
    <w:qFormat/>
    <w:uiPriority w:val="0"/>
    <w:rPr>
      <w:color w:val="333333"/>
      <w:u w:val="none"/>
    </w:rPr>
  </w:style>
  <w:style w:type="character" w:styleId="15">
    <w:name w:val="Emphasis"/>
    <w:basedOn w:val="13"/>
    <w:qFormat/>
    <w:uiPriority w:val="0"/>
  </w:style>
  <w:style w:type="character" w:styleId="16">
    <w:name w:val="HTML Definition"/>
    <w:basedOn w:val="13"/>
    <w:qFormat/>
    <w:uiPriority w:val="0"/>
  </w:style>
  <w:style w:type="character" w:styleId="17">
    <w:name w:val="HTML Acronym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333333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character" w:customStyle="1" w:styleId="22">
    <w:name w:val="页眉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5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26">
    <w:name w:val="正文首行缩进 21"/>
    <w:basedOn w:val="27"/>
    <w:qFormat/>
    <w:uiPriority w:val="0"/>
    <w:pPr>
      <w:ind w:firstLine="420" w:firstLineChars="200"/>
    </w:pPr>
  </w:style>
  <w:style w:type="paragraph" w:customStyle="1" w:styleId="27">
    <w:name w:val="正文文本缩进1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272</Words>
  <Characters>1557</Characters>
  <Lines>12</Lines>
  <Paragraphs>3</Paragraphs>
  <TotalTime>0</TotalTime>
  <ScaleCrop>false</ScaleCrop>
  <LinksUpToDate>false</LinksUpToDate>
  <CharactersWithSpaces>1826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2020-03-16T03:54:00Z</dcterms:created>
  <dc:creator>Administrator</dc:creator>
  <cp:lastModifiedBy>sun</cp:lastModifiedBy>
  <cp:lastPrinted>2020-05-07T06:38:00Z</cp:lastPrinted>
  <dcterms:modified xsi:type="dcterms:W3CDTF">2024-01-12T02:46:57Z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